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ԱԱԾ-ՏՆՏՎ-ԷԱՃԱՊՁԲ-25/2-ԷԼԵԿՏՐԱՏԵԽՆԻԿԱ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ԱԱԾ-ՏՆՏՎ-ԷԱՃԱՊՁԲ-25/2-ԷԼԵԿՏՐԱՏԵԽՆԻԿԱ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ԱԱԾ-ՏՆՏՎ-ԷԱՃԱՊՁԲ-25/2-ԷԼԵԿՏՐԱՏԵԽՆԻԿԱ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ԱԱԾ-ՏՆՏՎ-ԷԱՃԱՊՁԲ-25/2-ԷԼԵԿՏՐԱՏԵԽՆԻԿԱ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ԱԱԾ-ՏՆՏՎ-ԷԱՃԱՊՁԲ-25/2-ԷԼԵԿՏՐԱՏԵԽՆԻԿԱ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ԱԱԾ-ՏՆՏՎ-ԷԱՃԱՊՁԲ-25/2-ԷԼԵԿՏՐԱՏԵԽՆԻԿԱ»*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ԱԱԾ-ՏՆՏՎ-ԷԱՃԱՊՁԲ-25/2-ԷԼԵԿՏՐԱՏԵԽՆԻԿԱ*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ԱԱԾ-ՏՆՏՎ-ԷԱՃԱՊՁԲ-25/2-ԷԼԵԿՏՐԱՏԵԽՆԻԿԱ»*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ԱԱԾ-ՏՆՏՎ-ԷԱՃԱՊՁԲ-25/2-ԷԼԵԿՏՐԱՏԵԽՆԻԿԱ*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__առնվազն 2 տարի___: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տեսակը սպլիտ համակարգի, կոմպրեսորը՝ ինվերտորային, հիմնական ռեժիմները տաքացում, սառեցում: Հզորությունը սառեցման/ տաքացման ռեժիմում առնվազն  12000BTU, ապահովող մակերեսը՝
առնվազն 40-45 մ2, սառեցման հզորություն առնվազն 3.6 KW ջեռուցման հզորություն առնվազն 3.9 KW օդի շրջանառությունը   առնվազն  700 մ3/ժ, աշխատանքային ջերմաստիճանը առնվազն +50°C/-20°C, ռեժիմները՝ սառեցում, տաքացում  թևիկների կառավարում, հեռակառավարման վահանակով ինքնամաքրում, ինքնահալեցում, էներգախնայողության դաս՝ նվազագույնը A+, գազի տեսակ՝ R410A կամ R32, ներսի բլոկի աղմուկի մակարդակը՝ առավելագույնը ոչ ավել 37դբ, դրսի բլոկի աղմուկի մակարդակը՝ առավելագույնը ոչ ավել 42դբ, էլէկտրասնուցման լարումը 220-240Վ/50-60Hz, դրսի բլոկը պետք է հագեցած լինի լրացուցիչ տեներով սառեցման պարագայում հալեցման պրոցեսը ավելի արդյունավետ կատարելու համար, դրսի բլոկների հիդրոմեկուսացման դասը IPX4, կառավարումը - հեռակառավարման վահանակով: Օդորակիչները պետք է լինեն նոր և չօկտագործված: Տեղափոխումը, բեռնափոխումը, տեղադրումը և միացումները իրականացնում է մատակարարի միջոցներով: Երաշխիքային ժամկետը՝ առնվազն 2 տարի: Օդորակիչների համար նախատեսված խողովակ, յուրաքանչյուր օդորակիչի համար առնվազն 3 մետր: Ներքին բլոկի չափերը (ԼxԲxԽ) 80-84 x 24-30 x 18-22 սմ: Բոլոր վերը նշված չափսերի շեղումը +-5%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