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ԵԱՍՄ-ԷԱՃԱՊՁԲ-25/65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ԵԱՍՄ-ԷԱՃԱՊՁԲ-25/65</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ԵԱՍՄ-ԷԱՃԱՊՁԲ-25/65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ԵԱՍՄ-ԷԱՃԱՊՁԲ-25/65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ԵԱՍՄ-ԷԱՃԱՊՁԲ-25/65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для грузовых автомобилей 315 / 80R22,5, однородные, назначение для задней (тяговой) оси, без воздушной камеры, конструкция-радиальная, единица измерения-шт., На шине указана: индекс скорости-L (120), индекс нагрузки-L index 156/150, индекс максимальной нагрузки-Max.L (кг) 4000/3350kg, пластичность: 20 PR, Цвет черный, боится огня, действующий стандарт АСТ 183-99, перевозка любым транспортом, поставщиком, замена и установка шин поставщиком, на территории города Ереван: Производство 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для грузовых автомобилей 11R22,5, однородные, назначение для задней (тяговой) оси, без воздушной камеры, конструкция-радиальная, единица измерения-шт., На шине указана: индекс скорости-K (110), индекс нагрузки-L index 146/143, индекс максимальной нагрузки-Max.л (кг) 3000/2725кг, пластичность: 16 PR, Цвет черный, боится огня, действующий стандарт АСТ 183-99, перевозка любым транспортом, поставщиком, замена и установка шин поставщиком, на территории города Ереван: Производство 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 16,9-28, предназначен для строительной техники. Рисунок защитного слоя высокочастотный, структура диагональная. На шине должна быть указана страна-изготовитель и производитель, протектор: (ПР) – не менее 12, индекс скорости – не менее А8 (40/км/ч), индекс нагрузки – не менее 151. , нагрузка: Макс. нагрузка (кг) - не менее 3450. Производство не ранее 2024-2025 гг Транспортировка любым видом транспорта,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 12,5/80-18, предназначен для строительной техники. Рисунок защитного слоя высокочастотный, структура диагональная. На шине должна быть указана страна-изготовитель и производитель, рисунок протектора (ПР) - не менее 12, индекс скорости - не менее А6 (30/км/ч), индекс нагрузки - не менее 141. , нагрузка - Max Load (кг) - не менее 2575. Производство не ранее 2024-2025 гг транспортировка любым транспортом,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Размерность шины: 12,4L-16, предназначена для сельскохозяйственной техники. Рисунок протектора: диагональный. На шине должна быть маркировка страны-производителя и производителя, слойность (ПР) - не менее 8. Индекс скорости: (Индекс скорости). ) - не менее А6 (30/км/ч), индекс нагрузки: (Индекс нагрузки) - не менее 111, нагрузка: Макс. нагрузка (кг) – не менее 1090. Год выпуска – не ранее 2024-2025 гг. : перевозка любым транспортом,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