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ՀԿԱԾ-ԷԱՃԱՊՁԲ-25/52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ՀԿԱԾ-ԷԱՃԱՊՁԲ-25/52</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ՀԿԱԾ-ԷԱՃԱՊՁԲ-25/52</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хозяйственных товаров для нужд Национального агентства по управлению в чрезвычайных ситуациях с кодом ՀԿԱԾ-ԷԱՃԱՊՁԲ-25/52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ՀԿԱԾ-ԷԱՃԱՊՁԲ-25/52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ՀԿԱԾ-ԷԱՃԱՊՁԲ-25/52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с даты вступления договора в силу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