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ՍՊԻՏԱԿԻ ԲՇԺԿԱԿԱՆ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ք.Սպիտակ, 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Վանիկ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vanik_sahakyan_89@mail.ru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ՍՊԻՏԱԿԻ ԲՇԺԿԱԿԱՆ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ՍԲԿ-ԷԱՃԱՊՁԲ-25/04</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ՍՊԻՏԱԿԻ ԲՇԺԿԱԿԱՆ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ՍՊԻՏԱԿԻ ԲՇԺԿԱԿԱՆ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ՍՊԻՏԱԿԻ ԲՇԺԿԱԿԱՆ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vanik_sahakyan_89@mail.ru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ՍՊԻՏԱԿԻ ԲՇԺԿԱԿԱՆ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Основные технические показатели: октановое число 91, плотность при 150°С - не более 775 кг/м3, объёмная доля бензола - 1%. Стандарт: Постановление Правительства РА № 894 от 16.06.2005 г. Технический регламент. Условные обозначения: пожароопасен.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Г,Спитак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1000 Октябрь 2000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