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Գյումրիի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Գյումրի</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коммунального оборудования для нужд муниципалитета Гюмри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arm.sargsyan1992@gmail.com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2-22-11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Գյումրիի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ՀՀՇՄԳՀՀԿՀ-ԷԱ-ԱՊՁԲ-40/25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Գյումրիի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Գյումրիի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коммунального оборудования для нужд муниципалитета Гюмри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коммунального оборудования для нужд муниципалитета Гюмри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Գյումրիի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ՀՀՇՄԳՀՀԿՀ-ԷԱ-ԱՊՁԲ-40/25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arm.sargsyan1992@gmail.com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коммунального оборудования для нужд муниципалитета Гюмри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ՀՀՇՄԳՀՀԿՀ-ԷԱ-ԱՊՁԲ-40/25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Գյումրիի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ՀՀՇՄԳՀՀԿՀ-ԷԱ-ԱՊՁԲ-40/25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ՀՀՇՄԳՀՀԿՀ-ԷԱ-ԱՊՁԲ-40/25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ՀՀՇՄԳՀՀԿՀ-ԷԱ-ԱՊՁԲ-40/25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Գյումրիի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"ՀՀՇՄԳՀՀԿՀ-ԷԱ-ԱՊՁԲ-40/25"*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Գյումրիի քաղաքապետարան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ՀՀՇՄԳՀՀԿՀ-ԷԱ-ԱՊՁԲ-40/25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"ՀՀՇՄԳՀՀԿՀ-ԷԱ-ԱՊՁԲ-40/25"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Գյումրիի քաղաքապետարան*(далее — Заказчик) процедуре закупок под кодом ՀՀՇՄԳՀՀԿՀ-ԷԱ-ԱՊՁԲ-40/25*.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ՀՀՇՄԳՀՀԿՀ-ԷԱ-ԱՊՁԲ-40/25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"ՀՀՇՄԳՀՀԿՀ-ԷԱ-ԱՊՁԲ-40/25"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Գյումրիի քաղաքապետարան*(далее — Заказчик) процедуре закупок под кодом ՀՀՇՄԳՀՀԿՀ-ԷԱ-ԱՊՁԲ-40/25*.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ՀՀՇՄԳՀՀԿՀ-ԷԱ-ԱՊՁԲ-40/25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ՀՀՇՄԳՀՀԿՀ-ԷԱ-ԱՊՁԲ-40/25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дорожное транспортное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Самосвал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ՀՀՇՄԳՀՀԿՀ-ԷԱ-ԱՊՁԲ-40/25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110-120 дней после подписания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ՀՀՇՄԳՀՀԿՀ-ԷԱ-ԱՊՁԲ-40/25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ՀՀՇՄԳՀՀԿՀ-ԷԱ-ԱՊՁԲ-40/25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ՀՀՇՄԳՀՀԿՀ-ԷԱ-ԱՊՁԲ-40/25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