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E30C5" w14:textId="77777777" w:rsidR="00937860" w:rsidRPr="00B6031E" w:rsidRDefault="00937860" w:rsidP="00937860">
      <w:pPr>
        <w:jc w:val="center"/>
      </w:pPr>
      <w:r>
        <w:t>ՏԵԽՆԻԿԱԿԱՆ ԲՆՈՒԹԱԳԻՐ</w:t>
      </w:r>
      <w:r>
        <w:rPr>
          <w:lang w:val="hy-AM"/>
        </w:rPr>
        <w:t xml:space="preserve"> – </w:t>
      </w:r>
      <w:proofErr w:type="gramStart"/>
      <w:r>
        <w:t xml:space="preserve">ՄԱՏԱԿԱՐԱՐՄԱՆ </w:t>
      </w:r>
      <w:r>
        <w:rPr>
          <w:lang w:val="hy-AM"/>
        </w:rPr>
        <w:t xml:space="preserve"> </w:t>
      </w:r>
      <w:r>
        <w:t>ԺԱՄԱՆԱԿԱՑՈՒՅՑ</w:t>
      </w:r>
      <w:proofErr w:type="gramEnd"/>
    </w:p>
    <w:p w14:paraId="1710EBAC" w14:textId="25A0CAE1" w:rsidR="00AB6E23" w:rsidRDefault="00937860" w:rsidP="00937860">
      <w:pPr>
        <w:jc w:val="right"/>
      </w:pPr>
      <w:r>
        <w:rPr>
          <w:lang w:val="hy-AM"/>
        </w:rPr>
        <w:t>ՀՀ դրամ</w:t>
      </w:r>
    </w:p>
    <w:tbl>
      <w:tblPr>
        <w:tblW w:w="154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268"/>
        <w:gridCol w:w="992"/>
        <w:gridCol w:w="3119"/>
        <w:gridCol w:w="708"/>
        <w:gridCol w:w="851"/>
        <w:gridCol w:w="850"/>
        <w:gridCol w:w="851"/>
        <w:gridCol w:w="850"/>
        <w:gridCol w:w="993"/>
        <w:gridCol w:w="1848"/>
      </w:tblGrid>
      <w:tr w:rsidR="00D80F26" w:rsidRPr="00675DD3" w14:paraId="5BA05DD5" w14:textId="77777777" w:rsidTr="00F27CA7">
        <w:trPr>
          <w:trHeight w:hRule="exact" w:val="340"/>
        </w:trPr>
        <w:tc>
          <w:tcPr>
            <w:tcW w:w="15486" w:type="dxa"/>
            <w:gridSpan w:val="12"/>
            <w:tcMar>
              <w:left w:w="28" w:type="dxa"/>
              <w:right w:w="28" w:type="dxa"/>
            </w:tcMar>
          </w:tcPr>
          <w:p w14:paraId="31E93B9A" w14:textId="77777777" w:rsidR="00D80F26" w:rsidRPr="00675DD3" w:rsidRDefault="00D80F26" w:rsidP="00F27CA7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D80F26" w:rsidRPr="0056490C" w14:paraId="24401DEE" w14:textId="77777777" w:rsidTr="00F27CA7">
        <w:trPr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23C9AE2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A0E9629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CA3765C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600B4F7" w14:textId="77777777" w:rsidR="00D80F26" w:rsidRPr="000950DA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42B1FDB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71C9E9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95BAFB4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D709835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38C00FE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691" w:type="dxa"/>
            <w:gridSpan w:val="3"/>
            <w:tcMar>
              <w:left w:w="28" w:type="dxa"/>
              <w:right w:w="28" w:type="dxa"/>
            </w:tcMar>
            <w:vAlign w:val="center"/>
          </w:tcPr>
          <w:p w14:paraId="5D0F0503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D80F26" w:rsidRPr="0056490C" w14:paraId="4AEE609C" w14:textId="77777777" w:rsidTr="00F27CA7">
        <w:trPr>
          <w:trHeight w:val="1478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4AC90522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CD6C2BE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75F9C13F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09778002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19" w:type="dxa"/>
            <w:vMerge/>
            <w:tcMar>
              <w:left w:w="28" w:type="dxa"/>
              <w:right w:w="28" w:type="dxa"/>
            </w:tcMar>
            <w:vAlign w:val="center"/>
          </w:tcPr>
          <w:p w14:paraId="4876726A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0310345D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14:paraId="1FB57DD2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10A8B750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8D3043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8136A8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1AAD56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84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78A212" w14:textId="77777777" w:rsidR="00D80F26" w:rsidRPr="00702043" w:rsidRDefault="00D80F26" w:rsidP="00F27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D80F26" w:rsidRPr="00BD0084" w14:paraId="4659EF36" w14:textId="77777777" w:rsidTr="00F27CA7">
        <w:trPr>
          <w:trHeight w:hRule="exact" w:val="14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5FD12DF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8C9B274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CCFE3E1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Ցիպրոֆլօքսացինի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E66237A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F6BD929" w14:textId="77777777" w:rsidR="00D80F26" w:rsidRPr="00E6313E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Ցիպրոֆլօքսացին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ցիպրոֆլօքսացինի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proofErr w:type="gram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2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776CB91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36C5311" w14:textId="7FCBDD24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DBB8167" w14:textId="74050634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60182B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A8C1BF6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198D3F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B4CA4C4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  <w:r w:rsidRPr="00A90255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A90255">
              <w:rPr>
                <w:rFonts w:ascii="Sylfaen" w:hAnsi="Sylfaen"/>
                <w:sz w:val="16"/>
                <w:szCs w:val="16"/>
                <w:lang w:val="hy-AM"/>
              </w:rPr>
              <w:t>թ-ի ընթացքում՝ յուրաքանչյուր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A90255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A90255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A90255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A90255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տեսակին համապատասխան: </w:t>
            </w:r>
          </w:p>
        </w:tc>
      </w:tr>
      <w:tr w:rsidR="00D80F26" w:rsidRPr="000D2C16" w14:paraId="464BDD79" w14:textId="77777777" w:rsidTr="00F766DA">
        <w:trPr>
          <w:trHeight w:hRule="exact" w:val="9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33AB5C6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E5C2785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33691814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0651B2C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Հիդրօքսիէթիլ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օսլա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D02926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19C75932" w14:textId="77777777" w:rsidR="00D80F26" w:rsidRPr="00E6313E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Հիդրօքսիէթիլ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օսլա</w:t>
            </w:r>
            <w:proofErr w:type="spellEnd"/>
            <w:r w:rsidRPr="00BD1540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>,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60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FB58418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19957A6" w14:textId="68374F50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2C4475C" w14:textId="4AEFAFC7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F255E9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D69C0B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2D2804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64E902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1B200830" w14:textId="77777777" w:rsidTr="00F27CA7">
        <w:trPr>
          <w:trHeight w:hRule="exact" w:val="113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77C4C96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6930A55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33691223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20031AC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Նադրոպարինի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կալցիումական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աղ</w:t>
            </w:r>
            <w:proofErr w:type="spellEnd"/>
            <w:r w:rsidRPr="00BD1540">
              <w:rPr>
                <w:rFonts w:ascii="Calibri" w:hAnsi="Calibri" w:cs="Calibri"/>
                <w:color w:val="333333"/>
                <w:sz w:val="18"/>
                <w:szCs w:val="18"/>
                <w:lang w:val="pt-BR"/>
              </w:rPr>
              <w:t> 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Ֆրաքսիպարին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0,3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C7E88AD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6D4E0B9E" w14:textId="77777777" w:rsidR="00D80F26" w:rsidRPr="00E6313E" w:rsidRDefault="00D80F26" w:rsidP="00F27CA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Նադրոպարինի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կալցիումական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աղ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>,</w:t>
            </w:r>
            <w:r w:rsidRPr="00BD1540">
              <w:rPr>
                <w:rFonts w:ascii="Calibri" w:hAnsi="Calibri" w:cs="Calibri"/>
                <w:sz w:val="18"/>
                <w:szCs w:val="18"/>
                <w:shd w:val="clear" w:color="auto" w:fill="F5F5F5"/>
                <w:lang w:val="pt-BR"/>
              </w:rPr>
              <w:t> 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2850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ՄՄ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AXa/0,3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0,3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նախալցված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ներարկիչներ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620A422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D459062" w14:textId="429890F4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0C0C5E2" w14:textId="2CEAB117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74577A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450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4CBE23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26FDE2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450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1E6B7A5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0931732E" w14:textId="77777777" w:rsidTr="00F27CA7">
        <w:trPr>
          <w:trHeight w:hRule="exact" w:val="113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6E6EBB6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3ED6987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5F633A9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նատրիում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 0,2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128CF81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75AD8464" w14:textId="77777777" w:rsidR="00D80F26" w:rsidRPr="00E6313E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նատրիում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20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/0,2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0,2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նախալցված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ներարկիչներ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CBCEC30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6BDAAA8" w14:textId="2CCB3F29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548B1DF" w14:textId="71FDB30F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DC6C63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36EA88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D031B4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A0FBF7A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7A4E3967" w14:textId="77777777" w:rsidTr="00F27CA7">
        <w:trPr>
          <w:trHeight w:hRule="exact" w:val="112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91C669B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199194E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96CACBD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նատրիում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 0,4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92B9B9C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48FD9E6A" w14:textId="77777777" w:rsidR="00D80F26" w:rsidRPr="00E6313E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նատրիում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40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/0,4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0,4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նախալցված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ներարկիչներ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4B3342E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9E5A33A" w14:textId="7AB2D3CC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9B3ABBA" w14:textId="0C42D35A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CFFF99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8D622E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FC5122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EC157B3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32656328" w14:textId="77777777" w:rsidTr="00633D85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5FD1A48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9E60B5A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94E7BAD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Կլոպիդոգրել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75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</w:t>
            </w:r>
            <w:r>
              <w:rPr>
                <w:rFonts w:ascii="GHEA Grapalat" w:hAnsi="GHEA Grapalat" w:cs="Calibri"/>
                <w:color w:val="333333"/>
                <w:sz w:val="18"/>
                <w:szCs w:val="18"/>
              </w:rPr>
              <w:t>գ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2EB589E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9B364CA" w14:textId="77777777" w:rsidR="00D80F26" w:rsidRPr="00E6313E" w:rsidRDefault="00D80F26" w:rsidP="00F27CA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կլոպիդոգրել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կլոպիդոգրելի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հիդրոսուլֆատ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թաղանթապատ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75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22E667C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91E795D" w14:textId="388E5D6B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122C837" w14:textId="39742A7A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67C13F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6D4A81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D00EAE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CCFFE8E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30DC5434" w14:textId="77777777" w:rsidTr="00F27CA7">
        <w:trPr>
          <w:trHeight w:hRule="exact" w:val="84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699B9A3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273A6B1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33611360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9CE8D2C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Խոլիկալցիֆերոլ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10մլ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0AA5A7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781F240" w14:textId="77777777" w:rsidR="00D80F26" w:rsidRPr="00E6313E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 xml:space="preserve">Խոլեկալցիֆերոլ 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լուծույթ, ներքին ընդունման</w:t>
            </w: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15000 ՄՄ/մլ,</w:t>
            </w: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10մլ ապակե սրվակ-կաթոցիկ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F376162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A9FC829" w14:textId="20693BE8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ECECBBF" w14:textId="48A29635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6B4C28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557858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F68B55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F4BFAAB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ED6F0D" w14:paraId="625F58F4" w14:textId="77777777" w:rsidTr="00F27CA7">
        <w:trPr>
          <w:trHeight w:hRule="exact" w:val="114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F971FD1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3AC4EFF" w14:textId="77777777" w:rsidR="00D80F26" w:rsidRPr="00ED6F0D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33651112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45F5DB5" w14:textId="77777777" w:rsidR="00D80F26" w:rsidRPr="00ED6F0D" w:rsidRDefault="00D80F26" w:rsidP="00F27CA7">
            <w:pPr>
              <w:spacing w:after="0"/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Ամօքսիցիլին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>,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քլավուլանաթթու</w:t>
            </w:r>
            <w:proofErr w:type="spellEnd"/>
            <w:proofErr w:type="gram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դեղափոշի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ներքին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ընդունմ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>.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դեղակ</w:t>
            </w:r>
            <w:proofErr w:type="spellEnd"/>
            <w:proofErr w:type="gram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>. 156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մգ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>/5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  <w:lang w:val="en-US"/>
              </w:rPr>
              <w:t xml:space="preserve"> 100</w:t>
            </w:r>
            <w:proofErr w:type="spellStart"/>
            <w:r w:rsidRPr="00ED6F0D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99AD720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43BAF89" w14:textId="77777777" w:rsidR="00D80F26" w:rsidRPr="00450E86" w:rsidRDefault="00D80F26" w:rsidP="00F27CA7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D6F0D">
              <w:rPr>
                <w:rFonts w:ascii="GHEA Grapalat" w:hAnsi="GHEA Grapalat"/>
                <w:sz w:val="18"/>
                <w:szCs w:val="18"/>
                <w:lang w:val="hy-AM"/>
              </w:rPr>
              <w:t xml:space="preserve">Ամօքսիցիլին,քլավուլանաթթու դեղափոշի </w:t>
            </w:r>
            <w:r w:rsidRPr="006A1CAF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ներքին ընդունմ.դեղակ. 100մլ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A1CAF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125 </w:t>
            </w:r>
            <w:proofErr w:type="spellStart"/>
            <w:r w:rsidRPr="006A1CAF">
              <w:rPr>
                <w:rFonts w:ascii="GHEA Grapalat" w:hAnsi="GHEA Grapalat" w:cs="Helvetica"/>
                <w:sz w:val="18"/>
                <w:szCs w:val="18"/>
                <w:lang w:val="en-US"/>
              </w:rPr>
              <w:t>մգ</w:t>
            </w:r>
            <w:proofErr w:type="spellEnd"/>
            <w:r w:rsidRPr="006A1CAF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/5մլ + 31,25 մգ /5 մլ, </w:t>
            </w:r>
            <w:proofErr w:type="spellStart"/>
            <w:r w:rsidRPr="006A1CAF">
              <w:rPr>
                <w:rFonts w:ascii="GHEA Grapalat" w:hAnsi="GHEA Grapalat" w:cs="Helvetica"/>
                <w:sz w:val="18"/>
                <w:szCs w:val="18"/>
                <w:lang w:val="en-US"/>
              </w:rPr>
              <w:t>ապակե</w:t>
            </w:r>
            <w:proofErr w:type="spellEnd"/>
            <w:r w:rsidRPr="006A1CAF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շշիկ և չափիչ գդալ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0C9C421" w14:textId="77777777" w:rsidR="00D80F26" w:rsidRPr="00ED6F0D" w:rsidRDefault="00D80F26" w:rsidP="00F27CA7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7760A04" w14:textId="33F4DBF6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366B281A" w14:textId="002C0628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EE2F75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9F7652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8AE0F5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9E5078B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7B0DBBD1" w14:textId="77777777" w:rsidTr="00F27CA7">
        <w:trPr>
          <w:trHeight w:hRule="exact" w:val="57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EE47369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D2C7D21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EC929BD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Ազիթրոմիցին</w:t>
            </w:r>
            <w:proofErr w:type="spellEnd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500մգ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6530DD5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B465383" w14:textId="77777777" w:rsidR="00D80F26" w:rsidRPr="00E6313E" w:rsidRDefault="00D80F26" w:rsidP="00F27CA7">
            <w:pPr>
              <w:spacing w:after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/>
                <w:sz w:val="18"/>
                <w:szCs w:val="18"/>
                <w:lang w:val="hy-AM"/>
              </w:rPr>
              <w:t>Ազիթրոմիցին  azithromycin դեղահատ 500մգ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3FE85BC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65D3929" w14:textId="531DA0BC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166DF1D" w14:textId="53A74562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8A5A3E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B4B5FE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B6B754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FA3D420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03ED71CE" w14:textId="77777777" w:rsidTr="00F27CA7">
        <w:trPr>
          <w:trHeight w:hRule="exact" w:val="82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8EB4C37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5D7CD98" w14:textId="77777777" w:rsidR="00D80F26" w:rsidRPr="00450E86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8B703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2F72479" w14:textId="77777777" w:rsidR="00D80F26" w:rsidRPr="00450E86" w:rsidRDefault="00D80F26" w:rsidP="00F27CA7">
            <w:pPr>
              <w:spacing w:after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Ազիթրոմիցին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. 100մգ/5մլ 20մլ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E3F1124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4819475" w14:textId="77777777" w:rsidR="00D80F26" w:rsidRPr="00450E86" w:rsidRDefault="00D80F26" w:rsidP="00F27CA7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D6F0D">
              <w:rPr>
                <w:rFonts w:ascii="GHEA Grapalat" w:hAnsi="GHEA Grapalat"/>
                <w:sz w:val="18"/>
                <w:szCs w:val="18"/>
                <w:lang w:val="hy-AM"/>
              </w:rPr>
              <w:t>Ազիթրոմիցին դեղափոշի ներքին ընդունման դեղակ. 100մգ/5մլ 20մլ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A290213" w14:textId="77777777" w:rsidR="00D80F26" w:rsidRPr="00ED6F0D" w:rsidRDefault="00D80F26" w:rsidP="00F27CA7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2418E3D" w14:textId="1181FB6A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7FA6D09" w14:textId="32AC27DC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35D8EB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CFA9E0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B4F5E7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B4A7EC0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23C60B7A" w14:textId="77777777" w:rsidTr="00F27CA7">
        <w:trPr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733AE72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4B8379D" w14:textId="77777777" w:rsidR="00D80F26" w:rsidRPr="00450E86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8B703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A3A409A" w14:textId="77777777" w:rsidR="00D80F26" w:rsidRPr="00450E86" w:rsidRDefault="00D80F26" w:rsidP="00F27CA7">
            <w:pPr>
              <w:spacing w:after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Ազիթրոմիցին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00մգ/5մլ 20մլ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7CD211F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37C7F8C" w14:textId="77777777" w:rsidR="00D80F26" w:rsidRPr="00450E86" w:rsidRDefault="00D80F26" w:rsidP="00F27CA7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Ազիթրոմիցին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</w:t>
            </w:r>
            <w:proofErr w:type="spellEnd"/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.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  <w:r w:rsidRPr="00ED6F0D">
              <w:rPr>
                <w:rFonts w:ascii="GHEA Grapalat" w:hAnsi="GHEA Grapalat" w:cs="Calibri"/>
                <w:color w:val="000000"/>
                <w:sz w:val="18"/>
                <w:szCs w:val="18"/>
              </w:rPr>
              <w:t>00մգ/5մլ 20մլ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A35FD2A" w14:textId="77777777" w:rsidR="00D80F26" w:rsidRPr="00ED6F0D" w:rsidRDefault="00D80F26" w:rsidP="00F27CA7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43E3642" w14:textId="300986F3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1B4616F" w14:textId="4296D8D7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0AC8E7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C9F6C6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0CCDE4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160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1437400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53DBFE4B" w14:textId="77777777" w:rsidTr="00F27CA7">
        <w:trPr>
          <w:trHeight w:hRule="exact" w:val="100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FB31B3D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528DDC9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D12DC7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Մօքսիֆլօքսացին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400</w:t>
            </w:r>
            <w:proofErr w:type="gram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մգ  250</w:t>
            </w:r>
            <w:proofErr w:type="gram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2D60942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82DD3E9" w14:textId="77777777" w:rsidR="00D80F26" w:rsidRPr="00BD1540" w:rsidRDefault="00D80F26" w:rsidP="00F27CA7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Մօքսիֆլօքսացին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moxifloxacin</w:t>
            </w:r>
            <w:proofErr w:type="gram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400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/250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, 250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,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  <w:p w14:paraId="41276E8F" w14:textId="77777777" w:rsidR="00D80F26" w:rsidRPr="00E6313E" w:rsidRDefault="00D80F26" w:rsidP="00F27CA7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0C9376C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25FEB0C" w14:textId="02B6FA42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4C909C6" w14:textId="788ADFC1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889F4F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548440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624A1D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5C22396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55EDA85F" w14:textId="77777777" w:rsidTr="00F27CA7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9B7640E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B863AA3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33621610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78458FA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Մանիտոլ</w:t>
            </w:r>
            <w:proofErr w:type="spellEnd"/>
            <w:r w:rsidRPr="00450E86">
              <w:rPr>
                <w:rFonts w:ascii="Calibri" w:hAnsi="Calibri" w:cs="Calibri"/>
                <w:color w:val="333333"/>
                <w:sz w:val="18"/>
                <w:szCs w:val="18"/>
              </w:rPr>
              <w:t> </w:t>
            </w:r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100մգ/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, 500մլ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B565FE4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BA9650D" w14:textId="77777777" w:rsidR="00D80F26" w:rsidRPr="00E6313E" w:rsidRDefault="00D80F26" w:rsidP="00F27CA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Մանիտոլ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(Mannitol),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1C96788B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39B37A6" w14:textId="0CBF8463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4B2BC44" w14:textId="40AB754B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ED31D3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9D638A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007096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1EC00F7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2568F984" w14:textId="77777777" w:rsidTr="00F27CA7">
        <w:trPr>
          <w:trHeight w:hRule="exact" w:val="57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961178A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CD0B724" w14:textId="77777777" w:rsidR="00D80F26" w:rsidRPr="00450E86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33621774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E0EA7C9" w14:textId="77777777" w:rsidR="00D80F26" w:rsidRPr="00450E86" w:rsidRDefault="00D80F26" w:rsidP="00F27CA7">
            <w:pPr>
              <w:spacing w:after="0"/>
              <w:rPr>
                <w:rFonts w:ascii="GHEA Grapalat" w:hAnsi="GHEA Grapalat" w:cs="Calibri"/>
                <w:color w:val="333333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333333"/>
                <w:sz w:val="18"/>
                <w:szCs w:val="18"/>
              </w:rPr>
              <w:t>Տորասեմիդ</w:t>
            </w:r>
            <w:proofErr w:type="spellEnd"/>
            <w:r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5մգ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3479D58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D6BEBD8" w14:textId="77777777" w:rsidR="00D80F26" w:rsidRPr="00F3638A" w:rsidRDefault="00D80F26" w:rsidP="00F27CA7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</w:pPr>
            <w:proofErr w:type="spellStart"/>
            <w:r w:rsidRPr="00F3638A">
              <w:rPr>
                <w:rFonts w:ascii="GHEA Grapalat" w:hAnsi="GHEA Grapalat" w:cs="Helvetica"/>
                <w:sz w:val="18"/>
                <w:szCs w:val="18"/>
              </w:rPr>
              <w:t>տորասեմիդ</w:t>
            </w:r>
            <w:proofErr w:type="spellEnd"/>
            <w:r w:rsidRPr="00F3638A">
              <w:rPr>
                <w:rFonts w:ascii="GHEA Grapalat" w:hAnsi="GHEA Grapalat" w:cs="Helvetica"/>
                <w:sz w:val="18"/>
                <w:szCs w:val="18"/>
              </w:rPr>
              <w:t xml:space="preserve"> (</w:t>
            </w:r>
            <w:proofErr w:type="spellStart"/>
            <w:r w:rsidRPr="00F3638A">
              <w:rPr>
                <w:rFonts w:ascii="GHEA Grapalat" w:hAnsi="GHEA Grapalat" w:cs="Helvetica"/>
                <w:sz w:val="18"/>
                <w:szCs w:val="18"/>
              </w:rPr>
              <w:t>torasemide</w:t>
            </w:r>
            <w:proofErr w:type="spellEnd"/>
            <w:r w:rsidRPr="00F3638A">
              <w:rPr>
                <w:rFonts w:ascii="GHEA Grapalat" w:hAnsi="GHEA Grapalat" w:cs="Helvetica"/>
                <w:sz w:val="18"/>
                <w:szCs w:val="18"/>
              </w:rPr>
              <w:t xml:space="preserve">) </w:t>
            </w:r>
            <w:proofErr w:type="spellStart"/>
            <w:r w:rsidRPr="00F3638A">
              <w:rPr>
                <w:rFonts w:ascii="GHEA Grapalat" w:hAnsi="GHEA Grapalat" w:cs="Helvetica"/>
                <w:sz w:val="18"/>
                <w:szCs w:val="18"/>
              </w:rPr>
              <w:t>դեղահատեր</w:t>
            </w:r>
            <w:proofErr w:type="spellEnd"/>
            <w:r w:rsidRPr="00F3638A">
              <w:rPr>
                <w:rFonts w:ascii="GHEA Grapalat" w:hAnsi="GHEA Grapalat" w:cs="Helvetica"/>
                <w:sz w:val="18"/>
                <w:szCs w:val="18"/>
              </w:rPr>
              <w:t xml:space="preserve"> 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043A41F" w14:textId="77777777" w:rsidR="00D80F26" w:rsidRPr="00450E86" w:rsidRDefault="00D80F26" w:rsidP="00F27CA7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DFC2456" w14:textId="6B10E333" w:rsidR="00D80F26" w:rsidRPr="00544017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D0AC05F" w14:textId="2A466EAE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82E124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03F9D2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93BBAA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934272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1993E97A" w14:textId="77777777" w:rsidTr="00F27CA7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738F839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F97702E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33621768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FB78DDF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Դիլտիազեմ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դիլտիազեմի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հիդրոքլորիդ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) 90մգ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FCA72E9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4A738BF" w14:textId="77777777" w:rsidR="00D80F26" w:rsidRPr="00E6313E" w:rsidRDefault="00D80F26" w:rsidP="00F27CA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Դիլտիազեմ (դիլտիազեմի հիդրոքլորիդ) դեղապատիճներ, երկարատև ձերբազատմամբ 90մգ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E38EB00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պճ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89C4353" w14:textId="61F73EDC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1DCFCFAD" w14:textId="01E8FB24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5ED186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98EBED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9FD2AB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761AF6F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35B262FE" w14:textId="77777777" w:rsidTr="00F27CA7">
        <w:trPr>
          <w:trHeight w:hRule="exact" w:val="11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A70B0FB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04267D9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E96C16D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Օնդանսետրոն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օնդանսետրոնի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հիդրոքլորիդի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դիհիդրատ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 2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, 2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ամպուլներ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8876B61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E2F60F2" w14:textId="77777777" w:rsidR="00D80F26" w:rsidRPr="00E6313E" w:rsidRDefault="00D80F26" w:rsidP="00F27CA7">
            <w:pPr>
              <w:rPr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Օնդանսետրոն (օնդանսետրոնի հիդրոքլորիդի դիհիդրատ) լուծույթ, ներարկման 2մգ/մլ, 2մլ ամպուլներ, 2մլ ամպուլներ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AA715BA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6F97D79" w14:textId="01D9AD0E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C4F835E" w14:textId="65337343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6F8317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04F04E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83D05A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1DCFBBE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65564B6F" w14:textId="77777777" w:rsidTr="00BD0084">
        <w:trPr>
          <w:trHeight w:hRule="exact" w:val="69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78C823E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46D4172" w14:textId="4834E23F" w:rsidR="00D80F26" w:rsidRPr="001C135C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3369117</w:t>
            </w:r>
            <w:r w:rsidR="001C135C">
              <w:rPr>
                <w:rFonts w:ascii="GHEA Grapalat" w:hAnsi="GHEA Grapalat" w:cs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E745960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Կարբետոցին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095A31A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79ECD3A" w14:textId="77777777" w:rsidR="00D80F26" w:rsidRPr="00E6313E" w:rsidRDefault="00D80F26" w:rsidP="00F27CA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Կարբետոցին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ապակե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սրվակ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լուծույթ ներարկման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233E70F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C34309C" w14:textId="5F4F4142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939A02D" w14:textId="16D0B227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C2871D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C60FD1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59AC2D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32F36CE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72241551" w14:textId="77777777" w:rsidTr="00633D85">
        <w:trPr>
          <w:trHeight w:hRule="exact" w:val="5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A98CFEB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36D481C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33651252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2741690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Անաստրոզոլ 1մգ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A927B97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09C0B34" w14:textId="77777777" w:rsidR="00D80F26" w:rsidRPr="00E6313E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անաստրոզոլ (anastrozole) դեղահատեր, թաղանթապատ 1մգ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D6677F8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դ/հատ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F155A22" w14:textId="2CD011C7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12FA517" w14:textId="7E876F91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DD3BEC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2520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509B08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587AFD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2520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732A22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80F26" w:rsidRPr="000D2C16" w14:paraId="3FC8CF1B" w14:textId="77777777" w:rsidTr="00F27CA7">
        <w:trPr>
          <w:trHeight w:hRule="exact" w:val="111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D52C2C1" w14:textId="77777777" w:rsidR="00D80F26" w:rsidRPr="000D2C16" w:rsidRDefault="00D80F26" w:rsidP="00D80F26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B06498C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33611110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4034D5" w14:textId="77777777" w:rsidR="00D80F26" w:rsidRPr="00E6313E" w:rsidRDefault="00D80F26" w:rsidP="00F27CA7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Ալյումինիումի հիդրօքսիդ, մագնեզիումի հիդրօքսիդ 400մգ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937B954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9CD9F35" w14:textId="77777777" w:rsidR="00D80F26" w:rsidRPr="00E6313E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Ալյումինիումի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հիդրօքսիդ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մագնեզիումի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հիդրօքսիդ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(aluminium hydroxide, magnesium hydroxide)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դեղահատեր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ծամելու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400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061B055" w14:textId="77777777" w:rsidR="00D80F26" w:rsidRPr="00E6313E" w:rsidRDefault="00D80F26" w:rsidP="00F27CA7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դ/հատ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EB6A54B" w14:textId="459DF1B8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5FEFDDC0" w14:textId="4546BBC3" w:rsidR="00D80F26" w:rsidRPr="00544017" w:rsidRDefault="00D80F26" w:rsidP="00F27CA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1AEEBD" w14:textId="77777777" w:rsidR="00D80F26" w:rsidRPr="00595F64" w:rsidRDefault="00D80F26" w:rsidP="00F27CA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456FEB" w14:textId="77777777" w:rsidR="00D80F26" w:rsidRPr="000D2C16" w:rsidRDefault="00D80F26" w:rsidP="00F27CA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E39178" w14:textId="77777777" w:rsidR="00D80F26" w:rsidRPr="000D2C16" w:rsidRDefault="00D80F26" w:rsidP="00F27CA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506F41" w14:textId="77777777" w:rsidR="00D80F26" w:rsidRPr="004F6ABB" w:rsidRDefault="00D80F26" w:rsidP="00F27CA7">
            <w:pPr>
              <w:spacing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</w:tbl>
    <w:bookmarkEnd w:id="0"/>
    <w:p w14:paraId="5A229BA6" w14:textId="77777777" w:rsidR="00937860" w:rsidRPr="00A70005" w:rsidRDefault="00937860" w:rsidP="00937860">
      <w:pPr>
        <w:spacing w:after="0" w:line="240" w:lineRule="auto"/>
        <w:jc w:val="both"/>
        <w:rPr>
          <w:rFonts w:ascii="GHEA Grapalat" w:hAnsi="GHEA Grapalat" w:cs="Calibri"/>
          <w:bCs/>
          <w:color w:val="FF0000"/>
          <w:sz w:val="18"/>
          <w:szCs w:val="18"/>
          <w:lang w:val="hy-AM"/>
        </w:rPr>
      </w:pP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>*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Դեղերի</w:t>
      </w: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տեղափոխումը</w:t>
      </w: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 xml:space="preserve">, 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պահեստավորումը</w:t>
      </w: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և</w:t>
      </w: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պահպանումը</w:t>
      </w: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պետք</w:t>
      </w: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է</w:t>
      </w: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իրականացվի</w:t>
      </w: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համաձայն</w:t>
      </w:r>
      <w:r w:rsidRPr="00A70005">
        <w:rPr>
          <w:rFonts w:ascii="GHEA Grapalat" w:hAnsi="GHEA Grapalat" w:cs="Calibri"/>
          <w:bCs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bCs/>
          <w:color w:val="FF0000"/>
          <w:sz w:val="18"/>
          <w:szCs w:val="18"/>
          <w:lang w:val="hy-AM"/>
        </w:rPr>
        <w:t>«Դեղերի մասին» օրենքի 22-րդ հոդվածով սահմանված պահանջների:</w:t>
      </w:r>
    </w:p>
    <w:p w14:paraId="7CBA1CEC" w14:textId="77777777" w:rsidR="00937860" w:rsidRPr="00A70005" w:rsidRDefault="00937860" w:rsidP="00937860">
      <w:pPr>
        <w:spacing w:after="0" w:line="240" w:lineRule="auto"/>
        <w:jc w:val="both"/>
        <w:rPr>
          <w:rFonts w:ascii="GHEA Grapalat" w:hAnsi="GHEA Grapalat"/>
          <w:color w:val="FF0000"/>
          <w:sz w:val="18"/>
          <w:szCs w:val="18"/>
          <w:lang w:val="hy-AM"/>
        </w:rPr>
      </w:pP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Դեղի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պիտանիության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ժամկետները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գնորդին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հանձնման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պահին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պետք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է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լինեն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հետևյալը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>`</w:t>
      </w:r>
    </w:p>
    <w:p w14:paraId="0AF47FFA" w14:textId="77777777" w:rsidR="00937860" w:rsidRPr="00A70005" w:rsidRDefault="00937860" w:rsidP="00937860">
      <w:pPr>
        <w:spacing w:after="0" w:line="240" w:lineRule="auto"/>
        <w:jc w:val="both"/>
        <w:rPr>
          <w:rFonts w:ascii="GHEA Grapalat" w:hAnsi="GHEA Grapalat"/>
          <w:color w:val="FF0000"/>
          <w:sz w:val="18"/>
          <w:szCs w:val="18"/>
          <w:lang w:val="hy-AM"/>
        </w:rPr>
      </w:pP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ա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. 2,5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տարվանից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ավելի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պիտանիության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ժամկետ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ունեցող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դեղերը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հանձնման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պահին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պետք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է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ունենան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առնվազն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24 ամիս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մնացորդային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պիտանիության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ժամկետ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>,</w:t>
      </w:r>
    </w:p>
    <w:p w14:paraId="60DE3F35" w14:textId="77777777" w:rsidR="00937860" w:rsidRPr="00A70005" w:rsidRDefault="00937860" w:rsidP="00937860">
      <w:pPr>
        <w:spacing w:after="0" w:line="240" w:lineRule="auto"/>
        <w:jc w:val="both"/>
        <w:rPr>
          <w:rFonts w:ascii="GHEA Grapalat" w:hAnsi="GHEA Grapalat"/>
          <w:color w:val="FF0000"/>
          <w:sz w:val="18"/>
          <w:szCs w:val="18"/>
          <w:lang w:val="hy-AM"/>
        </w:rPr>
      </w:pP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բ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.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մինչև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2,5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տարի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պիտանիության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ժամկետ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ունեցող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դեղերը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հանձնման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պահին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պետք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է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ունենան առնվազն 12 ամիս  մնացորդային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պիտանիության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 xml:space="preserve"> </w:t>
      </w:r>
      <w:r w:rsidRPr="00A70005">
        <w:rPr>
          <w:rFonts w:ascii="GHEA Grapalat" w:hAnsi="GHEA Grapalat" w:cs="Arial"/>
          <w:color w:val="FF0000"/>
          <w:sz w:val="18"/>
          <w:szCs w:val="18"/>
          <w:lang w:val="hy-AM"/>
        </w:rPr>
        <w:t>ժամկետ</w:t>
      </w: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>:</w:t>
      </w:r>
    </w:p>
    <w:p w14:paraId="492BC698" w14:textId="77777777" w:rsidR="00937860" w:rsidRPr="00A70005" w:rsidRDefault="00937860" w:rsidP="00937860">
      <w:pPr>
        <w:spacing w:after="0"/>
        <w:jc w:val="both"/>
        <w:rPr>
          <w:rFonts w:ascii="GHEA Grapalat" w:hAnsi="GHEA Grapalat"/>
          <w:color w:val="FF0000"/>
          <w:sz w:val="18"/>
          <w:szCs w:val="18"/>
          <w:lang w:val="hy-AM"/>
        </w:rPr>
      </w:pPr>
      <w:r w:rsidRPr="00A70005">
        <w:rPr>
          <w:rFonts w:ascii="GHEA Grapalat" w:hAnsi="GHEA Grapalat"/>
          <w:color w:val="FF0000"/>
          <w:sz w:val="18"/>
          <w:szCs w:val="18"/>
          <w:lang w:val="hy-AM"/>
        </w:rPr>
        <w:t>Չգրանցված դեղերի համար նախատեսվում է, որ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«Դեղերի և բժշկական տեխնոլոգիաների փորձագիտական կենտրոն» պետական ոչ առևտրային կազմակերպության կողմից տրված հավաստող տեղեկանք՝ Հայաստանի Հանրապետության կառավարության 2017 թվականի փետրվարի 23-ի N 172-Ա որոշմամբ սահմանված միջազգային մասնագիտական կազմակերպության կամ ԵԱՏՄ անդամ հանդիսացող երկրներում գրանցված լինելու, կամ Առողջապահության համաշխարհային կազմակերպության նախաորակավորում ունենալու, ինչպես նաև «Դեղերի մասին» օրենքի 21-րդ հոդվածի 8-րդ  մասի 17-րդ կետով սահմանված ներմուծման մերժման հիմքերի բացակայության  մասին:</w:t>
      </w:r>
    </w:p>
    <w:p w14:paraId="2F6E961A" w14:textId="77777777" w:rsidR="00937860" w:rsidRPr="00937860" w:rsidRDefault="00937860" w:rsidP="00937860">
      <w:pPr>
        <w:spacing w:after="0"/>
        <w:jc w:val="both"/>
        <w:rPr>
          <w:rFonts w:ascii="GHEA Grapalat" w:hAnsi="GHEA Grapalat" w:cs="Sylfaen"/>
          <w:sz w:val="18"/>
          <w:szCs w:val="18"/>
          <w:lang w:val="pt-BR"/>
        </w:rPr>
      </w:pPr>
      <w:r w:rsidRPr="00937860">
        <w:rPr>
          <w:rFonts w:ascii="GHEA Grapalat" w:hAnsi="GHEA Grapalat"/>
          <w:sz w:val="18"/>
          <w:szCs w:val="18"/>
          <w:lang w:val="hy-AM"/>
        </w:rPr>
        <w:t xml:space="preserve"> *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Ապրանքի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ժամկետը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իսկ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փուլային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դեպքում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`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առաջին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փուլի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ժամկետը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պետք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է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սահմանվի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առնվազն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20 </w:t>
      </w:r>
      <w:r w:rsidRPr="00937860">
        <w:rPr>
          <w:rFonts w:ascii="GHEA Grapalat" w:hAnsi="GHEA Grapalat" w:cs="Arial"/>
          <w:sz w:val="18"/>
          <w:szCs w:val="18"/>
          <w:lang w:val="pt-BR"/>
        </w:rPr>
        <w:t>օրացուցային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օր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որի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հաշվարկը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կատարվում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է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պայմանագրով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նախատեսված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կողմերի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իրավունքների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և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պարտականությունների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կատարման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պայմանն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ուժի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մեջ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մտնելու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օրը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բացառությամբ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այն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դեպքի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երբ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ընտրված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մասնակիցը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համաձայնում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է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ապրանքը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մատակարարել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ավելի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կարճ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ժամկետում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: </w:t>
      </w:r>
      <w:r w:rsidRPr="00937860">
        <w:rPr>
          <w:rFonts w:ascii="GHEA Grapalat" w:hAnsi="GHEA Grapalat" w:cs="Arial"/>
          <w:sz w:val="18"/>
          <w:szCs w:val="18"/>
          <w:lang w:val="pt-BR"/>
        </w:rPr>
        <w:t>Մատակարարման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վերջնաժամկետը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չի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կարող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ավել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լինել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, </w:t>
      </w:r>
      <w:r w:rsidRPr="00937860">
        <w:rPr>
          <w:rFonts w:ascii="GHEA Grapalat" w:hAnsi="GHEA Grapalat" w:cs="Arial"/>
          <w:sz w:val="18"/>
          <w:szCs w:val="18"/>
          <w:lang w:val="pt-BR"/>
        </w:rPr>
        <w:t>քան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տվյալ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տարվա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937860">
        <w:rPr>
          <w:rFonts w:ascii="GHEA Grapalat" w:hAnsi="GHEA Grapalat" w:cs="Arial"/>
          <w:sz w:val="18"/>
          <w:szCs w:val="18"/>
          <w:lang w:val="pt-BR"/>
        </w:rPr>
        <w:t>դեկտեմբերի</w:t>
      </w:r>
      <w:r w:rsidRPr="00937860">
        <w:rPr>
          <w:rFonts w:ascii="GHEA Grapalat" w:hAnsi="GHEA Grapalat" w:cs="Sylfaen"/>
          <w:sz w:val="18"/>
          <w:szCs w:val="18"/>
          <w:lang w:val="pt-BR"/>
        </w:rPr>
        <w:t xml:space="preserve"> 25-</w:t>
      </w:r>
      <w:r w:rsidRPr="00937860">
        <w:rPr>
          <w:rFonts w:ascii="GHEA Grapalat" w:hAnsi="GHEA Grapalat" w:cs="Arial"/>
          <w:sz w:val="18"/>
          <w:szCs w:val="18"/>
          <w:lang w:val="pt-BR"/>
        </w:rPr>
        <w:t>ը</w:t>
      </w:r>
      <w:r w:rsidRPr="00937860">
        <w:rPr>
          <w:rFonts w:ascii="GHEA Grapalat" w:hAnsi="GHEA Grapalat" w:cs="Sylfaen"/>
          <w:sz w:val="18"/>
          <w:szCs w:val="18"/>
          <w:lang w:val="pt-BR"/>
        </w:rPr>
        <w:t>:</w:t>
      </w:r>
    </w:p>
    <w:p w14:paraId="408137F7" w14:textId="77777777" w:rsidR="00937860" w:rsidRPr="00937860" w:rsidRDefault="00937860" w:rsidP="00937860">
      <w:pPr>
        <w:pStyle w:val="31"/>
        <w:ind w:firstLine="0"/>
        <w:rPr>
          <w:rFonts w:ascii="GHEA Grapalat" w:hAnsi="GHEA Grapalat"/>
          <w:color w:val="FF0000"/>
          <w:sz w:val="18"/>
          <w:szCs w:val="18"/>
          <w:u w:val="none"/>
          <w:lang w:val="pt-BR"/>
        </w:rPr>
      </w:pPr>
      <w:r w:rsidRPr="00937860">
        <w:rPr>
          <w:rFonts w:ascii="GHEA Grapalat" w:hAnsi="GHEA Grapalat"/>
          <w:sz w:val="14"/>
          <w:szCs w:val="14"/>
          <w:u w:val="none"/>
          <w:lang w:val="pt-BR"/>
        </w:rPr>
        <w:t xml:space="preserve">**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Եթե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ընտրված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մասնակցի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հայտով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ներկայավել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է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մեկից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ավելի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արտադրողների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կողմից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արտադրված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ինչպես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տարբեր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նշան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ֆիրմային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անվանում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մոդել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ունեցող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ապրանքներ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ապա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դրանցից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բավարար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գնահատվածները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ներառվում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սույն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հավելվածում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: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Եթե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հրավերով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չի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նախատեսվում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մասնակցի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կողմից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առաջարկվող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ապրանքի՝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նշանի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ֆիրմային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անվանման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մոդելի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արտադրողի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վերաբերյալ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տեղեկատվության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ներկայացում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,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ապա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հանվում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Franklin Gothic Medium Cond" w:hAnsi="Franklin Gothic Medium Cond" w:cs="Franklin Gothic Medium Cond"/>
          <w:sz w:val="14"/>
          <w:szCs w:val="14"/>
          <w:u w:val="none"/>
          <w:lang w:val="pt-BR"/>
        </w:rPr>
        <w:t>«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նշանը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>,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ֆիրմային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անվանումը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>,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hy-AM"/>
        </w:rPr>
        <w:t>մոդելը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արտադրողի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անվանումը</w:t>
      </w:r>
      <w:r w:rsidRPr="00937860" w:rsidDel="00EB35E7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»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սյունակը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>: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Պայմանագրով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նախատեսված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դեպքում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Վաճառողը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Գնորդին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ներկայացնում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է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նաև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ապրանքն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արտադրողից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 xml:space="preserve">կամ </w:t>
      </w:r>
      <w:r w:rsidRPr="00937860">
        <w:rPr>
          <w:rFonts w:ascii="GHEA Grapalat" w:hAnsi="GHEA Grapalat" w:cs="Sylfaen"/>
          <w:sz w:val="14"/>
          <w:szCs w:val="14"/>
          <w:u w:val="none"/>
          <w:lang w:val="hy-AM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վերջինիս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ներկայացուցչից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երաշխիքային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նամակի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կամ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համապատասխանության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 xml:space="preserve"> </w:t>
      </w:r>
      <w:r w:rsidRPr="00937860">
        <w:rPr>
          <w:rFonts w:ascii="Arial" w:hAnsi="Arial" w:cs="Arial"/>
          <w:sz w:val="14"/>
          <w:szCs w:val="14"/>
          <w:u w:val="none"/>
          <w:lang w:val="pt-BR"/>
        </w:rPr>
        <w:t>սերտիֆիկատ</w:t>
      </w:r>
      <w:r w:rsidRPr="00937860">
        <w:rPr>
          <w:rFonts w:ascii="GHEA Grapalat" w:hAnsi="GHEA Grapalat" w:cs="Sylfaen"/>
          <w:sz w:val="14"/>
          <w:szCs w:val="14"/>
          <w:u w:val="none"/>
          <w:lang w:val="pt-BR"/>
        </w:rPr>
        <w:t>:</w:t>
      </w:r>
    </w:p>
    <w:p w14:paraId="384CD460" w14:textId="77777777" w:rsidR="00937860" w:rsidRDefault="00937860" w:rsidP="00937860">
      <w:pPr>
        <w:rPr>
          <w:lang w:val="pt-BR"/>
        </w:rPr>
      </w:pPr>
    </w:p>
    <w:p w14:paraId="18B472FB" w14:textId="77777777" w:rsidR="00937860" w:rsidRPr="00BD0084" w:rsidRDefault="00937860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160AB477" w14:textId="77777777" w:rsidR="00A70005" w:rsidRPr="00BD0084" w:rsidRDefault="00A70005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00FF534E" w14:textId="77777777" w:rsidR="00A70005" w:rsidRPr="00BD0084" w:rsidRDefault="00A70005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49228C18" w14:textId="77777777" w:rsidR="00A70005" w:rsidRPr="00BD0084" w:rsidRDefault="00A70005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44BF9BE3" w14:textId="77777777" w:rsidR="00A70005" w:rsidRPr="00BD0084" w:rsidRDefault="00A70005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02B6D4BF" w14:textId="77777777" w:rsidR="00A70005" w:rsidRPr="00BD0084" w:rsidRDefault="00A70005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6586B5C6" w14:textId="77777777" w:rsidR="00A70005" w:rsidRPr="00BD0084" w:rsidRDefault="00A70005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019FA423" w14:textId="77777777" w:rsidR="00A70005" w:rsidRPr="00BD0084" w:rsidRDefault="00A70005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1605791A" w14:textId="77777777" w:rsidR="00A70005" w:rsidRPr="00BD0084" w:rsidRDefault="00A70005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03A77A0E" w14:textId="77777777" w:rsidR="00A70005" w:rsidRPr="00BD0084" w:rsidRDefault="00A70005" w:rsidP="00937860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1A479F1A" w14:textId="5E77102D" w:rsidR="00937860" w:rsidRPr="00FA6A0B" w:rsidRDefault="00937860" w:rsidP="00937860">
      <w:pPr>
        <w:widowControl w:val="0"/>
        <w:spacing w:after="160"/>
        <w:jc w:val="center"/>
        <w:rPr>
          <w:rFonts w:ascii="GHEA Grapalat" w:hAnsi="GHEA Grapalat"/>
        </w:rPr>
      </w:pPr>
      <w:r w:rsidRPr="00FA6A0B">
        <w:rPr>
          <w:rFonts w:ascii="GHEA Grapalat" w:hAnsi="GHEA Grapalat"/>
        </w:rPr>
        <w:t>ТЕХНИЧЕСКАЯ ХАРАКТЕРИСТИКА-ГРАФИК ЗАКУПКИ</w:t>
      </w:r>
      <w:r w:rsidRPr="00FA6A0B">
        <w:rPr>
          <w:rStyle w:val="afe"/>
          <w:rFonts w:ascii="GHEA Grapalat" w:hAnsi="GHEA Grapalat"/>
        </w:rPr>
        <w:footnoteReference w:customMarkFollows="1" w:id="1"/>
        <w:t>*</w:t>
      </w:r>
    </w:p>
    <w:p w14:paraId="48AF734C" w14:textId="77777777" w:rsidR="00937860" w:rsidRPr="00FA6A0B" w:rsidRDefault="00937860" w:rsidP="00937860">
      <w:pPr>
        <w:widowControl w:val="0"/>
        <w:spacing w:after="160"/>
        <w:jc w:val="right"/>
        <w:rPr>
          <w:rFonts w:ascii="GHEA Grapalat" w:hAnsi="GHEA Grapalat"/>
        </w:rPr>
      </w:pPr>
      <w:r w:rsidRPr="00FA6A0B">
        <w:rPr>
          <w:rFonts w:ascii="GHEA Grapalat" w:hAnsi="GHEA Grapalat"/>
        </w:rPr>
        <w:t>Драмов РА</w:t>
      </w:r>
    </w:p>
    <w:tbl>
      <w:tblPr>
        <w:tblW w:w="16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1139"/>
        <w:gridCol w:w="2408"/>
        <w:gridCol w:w="1021"/>
        <w:gridCol w:w="3622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0846B3" w:rsidRPr="00B138F3" w14:paraId="5E36C067" w14:textId="77777777" w:rsidTr="00D22002">
        <w:trPr>
          <w:jc w:val="center"/>
        </w:trPr>
        <w:tc>
          <w:tcPr>
            <w:tcW w:w="16025" w:type="dxa"/>
            <w:gridSpan w:val="13"/>
          </w:tcPr>
          <w:p w14:paraId="479C9CC3" w14:textId="77777777" w:rsidR="000846B3" w:rsidRPr="00B138F3" w:rsidRDefault="000846B3" w:rsidP="003831E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0846B3" w:rsidRPr="00B138F3" w14:paraId="5F142E72" w14:textId="77777777" w:rsidTr="00D22002">
        <w:trPr>
          <w:gridAfter w:val="1"/>
          <w:wAfter w:w="55" w:type="dxa"/>
          <w:trHeight w:val="219"/>
          <w:jc w:val="center"/>
        </w:trPr>
        <w:tc>
          <w:tcPr>
            <w:tcW w:w="868" w:type="dxa"/>
            <w:vMerge w:val="restart"/>
            <w:vAlign w:val="center"/>
          </w:tcPr>
          <w:p w14:paraId="758007E8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39" w:type="dxa"/>
            <w:vMerge w:val="restart"/>
            <w:vAlign w:val="center"/>
          </w:tcPr>
          <w:p w14:paraId="4BBC3CFA" w14:textId="77777777" w:rsidR="000846B3" w:rsidRPr="00FA6A0B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6A0B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FA6A0B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2408" w:type="dxa"/>
            <w:vMerge w:val="restart"/>
            <w:vAlign w:val="center"/>
          </w:tcPr>
          <w:p w14:paraId="0F7C19AA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021" w:type="dxa"/>
            <w:vMerge w:val="restart"/>
            <w:vAlign w:val="center"/>
          </w:tcPr>
          <w:p w14:paraId="26F1563E" w14:textId="77777777" w:rsidR="000846B3" w:rsidRPr="00FA6A0B" w:rsidRDefault="000846B3" w:rsidP="00DA234C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6A0B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 w:rsidRPr="00FA6A0B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622" w:type="dxa"/>
            <w:vMerge w:val="restart"/>
            <w:vAlign w:val="center"/>
          </w:tcPr>
          <w:p w14:paraId="138646F1" w14:textId="77777777" w:rsidR="000846B3" w:rsidRPr="00B138F3" w:rsidRDefault="000846B3" w:rsidP="00DA234C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vAlign w:val="center"/>
          </w:tcPr>
          <w:p w14:paraId="215C4ACB" w14:textId="77777777" w:rsidR="000846B3" w:rsidRPr="00B138F3" w:rsidRDefault="000846B3" w:rsidP="00DA234C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6CAE0CE9" w14:textId="77777777" w:rsidR="000846B3" w:rsidRPr="00B138F3" w:rsidRDefault="000846B3" w:rsidP="00DA234C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6C322534" w14:textId="77777777" w:rsidR="000846B3" w:rsidRPr="00B138F3" w:rsidRDefault="000846B3" w:rsidP="00DA234C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5ACA1EB8" w14:textId="77777777" w:rsidR="000846B3" w:rsidRPr="00B138F3" w:rsidRDefault="000846B3" w:rsidP="00DA234C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705" w:type="dxa"/>
            <w:gridSpan w:val="3"/>
            <w:vAlign w:val="center"/>
          </w:tcPr>
          <w:p w14:paraId="1709692A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0846B3" w:rsidRPr="00B138F3" w14:paraId="6BF9B795" w14:textId="77777777" w:rsidTr="00D22002">
        <w:trPr>
          <w:gridAfter w:val="1"/>
          <w:wAfter w:w="55" w:type="dxa"/>
          <w:trHeight w:val="445"/>
          <w:jc w:val="center"/>
        </w:trPr>
        <w:tc>
          <w:tcPr>
            <w:tcW w:w="868" w:type="dxa"/>
            <w:vMerge/>
            <w:vAlign w:val="center"/>
          </w:tcPr>
          <w:p w14:paraId="2446C27A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vAlign w:val="center"/>
          </w:tcPr>
          <w:p w14:paraId="499F8DD9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09119B45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037E6CF4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2" w:type="dxa"/>
            <w:vMerge/>
            <w:vAlign w:val="center"/>
          </w:tcPr>
          <w:p w14:paraId="242679AD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73169BB1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55FB7D5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41C3AD4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A097F54" w14:textId="77777777" w:rsidR="000846B3" w:rsidRPr="00B138F3" w:rsidRDefault="000846B3" w:rsidP="00DA23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96688B6" w14:textId="77777777" w:rsidR="000846B3" w:rsidRPr="00B138F3" w:rsidRDefault="000846B3" w:rsidP="00DA234C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93" w:type="dxa"/>
            <w:vAlign w:val="center"/>
          </w:tcPr>
          <w:p w14:paraId="1D97AE19" w14:textId="77777777" w:rsidR="000846B3" w:rsidRPr="00B138F3" w:rsidRDefault="000846B3" w:rsidP="00DA234C">
            <w:pPr>
              <w:widowControl w:val="0"/>
              <w:spacing w:after="0" w:line="240" w:lineRule="auto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37" w:type="dxa"/>
            <w:vAlign w:val="center"/>
          </w:tcPr>
          <w:p w14:paraId="5EFEB1D9" w14:textId="77777777" w:rsidR="000846B3" w:rsidRPr="00B138F3" w:rsidRDefault="000846B3" w:rsidP="003831E6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C47BAB" w:rsidRPr="00B138F3" w14:paraId="0E329D7A" w14:textId="77777777" w:rsidTr="008E5E80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6D6A26DA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1C6170B5" w14:textId="7C0446DC" w:rsidR="00C47BAB" w:rsidRPr="0027235A" w:rsidRDefault="00C47BAB" w:rsidP="00C47BA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408" w:type="dxa"/>
            <w:vAlign w:val="bottom"/>
          </w:tcPr>
          <w:p w14:paraId="612D9ECD" w14:textId="0F5E42C9" w:rsidR="00C47BAB" w:rsidRPr="00FA6A0B" w:rsidRDefault="00C47BAB" w:rsidP="00C47BA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2мг/мл, 200мл</w:t>
            </w:r>
          </w:p>
        </w:tc>
        <w:tc>
          <w:tcPr>
            <w:tcW w:w="1021" w:type="dxa"/>
            <w:vAlign w:val="center"/>
          </w:tcPr>
          <w:p w14:paraId="2E321084" w14:textId="77777777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51B05CF6" w14:textId="3B790B98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Ц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ипрофлоксацин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ципрофлоксацингидрохлорид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2мг/мл, 200мл пластиковый пакет</w:t>
            </w:r>
          </w:p>
        </w:tc>
        <w:tc>
          <w:tcPr>
            <w:tcW w:w="1080" w:type="dxa"/>
            <w:vAlign w:val="bottom"/>
          </w:tcPr>
          <w:p w14:paraId="75EB2E5E" w14:textId="0232321A" w:rsidR="00C47BAB" w:rsidRPr="00345952" w:rsidRDefault="00C47BAB" w:rsidP="00C47BAB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A5EC6A8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F7F446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362E1B8" w14:textId="78AEC29E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275" w:type="dxa"/>
            <w:vMerge w:val="restart"/>
          </w:tcPr>
          <w:p w14:paraId="4900DFC4" w14:textId="77777777" w:rsidR="00C47BAB" w:rsidRPr="00FA6A0B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6A0B">
              <w:rPr>
                <w:rFonts w:ascii="GHEA Grapalat" w:hAnsi="GHEA Grapalat"/>
                <w:sz w:val="16"/>
                <w:szCs w:val="16"/>
              </w:rPr>
              <w:t xml:space="preserve">Тавушский </w:t>
            </w:r>
            <w:proofErr w:type="spellStart"/>
            <w:proofErr w:type="gramStart"/>
            <w:r w:rsidRPr="00FA6A0B">
              <w:rPr>
                <w:rFonts w:ascii="GHEA Grapalat" w:hAnsi="GHEA Grapalat"/>
                <w:sz w:val="16"/>
                <w:szCs w:val="16"/>
              </w:rPr>
              <w:t>марз,г</w:t>
            </w:r>
            <w:proofErr w:type="spellEnd"/>
            <w:r w:rsidRPr="00FA6A0B"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</w:rPr>
              <w:t xml:space="preserve"> Берд, А. Манукян 25</w:t>
            </w:r>
          </w:p>
          <w:p w14:paraId="437A23D7" w14:textId="77777777" w:rsidR="00C47BAB" w:rsidRPr="00E34F88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FBDC5CC" w14:textId="4C996402" w:rsidR="00C47BAB" w:rsidRDefault="00C47BAB" w:rsidP="00C47BA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437" w:type="dxa"/>
            <w:vMerge w:val="restart"/>
          </w:tcPr>
          <w:p w14:paraId="13FB398A" w14:textId="410EADB8" w:rsidR="00C47BAB" w:rsidRPr="000846B3" w:rsidRDefault="00C47BAB" w:rsidP="00C47BAB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6736">
              <w:rPr>
                <w:rFonts w:ascii="GHEA Grapalat" w:hAnsi="GHEA Grapalat"/>
                <w:sz w:val="16"/>
                <w:szCs w:val="16"/>
              </w:rPr>
              <w:t>В течении 202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Pr="00DF6736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DF6736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DF6736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 заказа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14:paraId="27DB17BC" w14:textId="77777777" w:rsidR="00C47BAB" w:rsidRPr="00F40372" w:rsidRDefault="00C47BAB" w:rsidP="00C47B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</w:pPr>
          </w:p>
          <w:p w14:paraId="6E5A0304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7E3EA5E3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46D00FE3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6FE44A4" w14:textId="7F4B3030" w:rsidR="00C47BAB" w:rsidRPr="0027235A" w:rsidRDefault="00C47BAB" w:rsidP="00C47BA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33691814</w:t>
            </w:r>
          </w:p>
        </w:tc>
        <w:tc>
          <w:tcPr>
            <w:tcW w:w="2408" w:type="dxa"/>
            <w:vAlign w:val="bottom"/>
          </w:tcPr>
          <w:p w14:paraId="539C24DD" w14:textId="3328FA1F" w:rsidR="00C47BAB" w:rsidRPr="00FA6A0B" w:rsidRDefault="00C47BAB" w:rsidP="00C47BA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Гидроксиэтил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ослы</w:t>
            </w:r>
          </w:p>
        </w:tc>
        <w:tc>
          <w:tcPr>
            <w:tcW w:w="1021" w:type="dxa"/>
            <w:vAlign w:val="center"/>
          </w:tcPr>
          <w:p w14:paraId="283F1199" w14:textId="77777777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193CE405" w14:textId="46104EA1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Г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идроксиэтил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ослы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hydroxyethyl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starchраствор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для инфузий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60мг/мл, 500мл пластиковый пакет</w:t>
            </w:r>
          </w:p>
        </w:tc>
        <w:tc>
          <w:tcPr>
            <w:tcW w:w="1080" w:type="dxa"/>
            <w:vAlign w:val="bottom"/>
          </w:tcPr>
          <w:p w14:paraId="50045707" w14:textId="35493E32" w:rsidR="00C47BAB" w:rsidRPr="00345952" w:rsidRDefault="00C47BAB" w:rsidP="00C47BAB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пласт. пакет</w:t>
            </w:r>
          </w:p>
        </w:tc>
        <w:tc>
          <w:tcPr>
            <w:tcW w:w="709" w:type="dxa"/>
            <w:vAlign w:val="center"/>
          </w:tcPr>
          <w:p w14:paraId="518B7EC2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F8AC2CC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96002A6" w14:textId="6E8685D4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33525B91" w14:textId="77777777" w:rsidR="00C47BAB" w:rsidRPr="00E34F88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8FAB87" w14:textId="630190A3" w:rsidR="00C47BAB" w:rsidRDefault="00C47BAB" w:rsidP="00C47BA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17B462CA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017F298A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446EF2BF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F6357D6" w14:textId="1E5345DF" w:rsidR="00C47BAB" w:rsidRPr="0027235A" w:rsidRDefault="00C47BAB" w:rsidP="00C47BA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33691223</w:t>
            </w:r>
          </w:p>
        </w:tc>
        <w:tc>
          <w:tcPr>
            <w:tcW w:w="2408" w:type="dxa"/>
            <w:vAlign w:val="bottom"/>
          </w:tcPr>
          <w:p w14:paraId="512D8D66" w14:textId="1813DB2C" w:rsidR="00C47BAB" w:rsidRPr="00AA5BD2" w:rsidRDefault="00C47BAB" w:rsidP="00C47BA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Надропарин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кальция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 0,3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5B96682E" w14:textId="77777777" w:rsidR="00C47BAB" w:rsidRPr="005A13B7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34279CA8" w14:textId="42FEB8BF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Н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адропарин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кальция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, 2850 МЕ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АХа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/0.3мл; 0,3мл готовые шприцы</w:t>
            </w:r>
          </w:p>
        </w:tc>
        <w:tc>
          <w:tcPr>
            <w:tcW w:w="1080" w:type="dxa"/>
            <w:vAlign w:val="bottom"/>
          </w:tcPr>
          <w:p w14:paraId="6EB19ABE" w14:textId="11C7A62D" w:rsidR="00C47BAB" w:rsidRPr="00345952" w:rsidRDefault="00C47BAB" w:rsidP="00C47BAB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2E8A5054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B38702C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F3410AB" w14:textId="6D7E0CAE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450</w:t>
            </w:r>
          </w:p>
        </w:tc>
        <w:tc>
          <w:tcPr>
            <w:tcW w:w="1275" w:type="dxa"/>
            <w:vMerge/>
            <w:vAlign w:val="center"/>
          </w:tcPr>
          <w:p w14:paraId="5B702AF0" w14:textId="77777777" w:rsidR="00C47BAB" w:rsidRPr="00E34F88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2C2994" w14:textId="57231DED" w:rsidR="00C47BAB" w:rsidRDefault="00C47BAB" w:rsidP="00C47BA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450</w:t>
            </w:r>
          </w:p>
        </w:tc>
        <w:tc>
          <w:tcPr>
            <w:tcW w:w="1437" w:type="dxa"/>
            <w:vMerge/>
            <w:vAlign w:val="center"/>
          </w:tcPr>
          <w:p w14:paraId="2E43FE4A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743159C7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06693FA5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0EBB4C60" w14:textId="098B50BE" w:rsidR="00C47BAB" w:rsidRPr="0027235A" w:rsidRDefault="00C47BAB" w:rsidP="00C47BA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408" w:type="dxa"/>
            <w:vAlign w:val="bottom"/>
          </w:tcPr>
          <w:p w14:paraId="426DBD06" w14:textId="1D2316C7" w:rsidR="00C47BAB" w:rsidRPr="00AA5BD2" w:rsidRDefault="00C47BAB" w:rsidP="00C47BA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0,2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06F967F4" w14:textId="77777777" w:rsidR="00C47BAB" w:rsidRPr="005A13B7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428105D3" w14:textId="662DA256" w:rsidR="00C47BAB" w:rsidRPr="00333737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Э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20 мг/0,2мл, 0,2 мл готовые шприцы</w:t>
            </w:r>
          </w:p>
        </w:tc>
        <w:tc>
          <w:tcPr>
            <w:tcW w:w="1080" w:type="dxa"/>
            <w:vAlign w:val="bottom"/>
          </w:tcPr>
          <w:p w14:paraId="6AC95447" w14:textId="130D36F1" w:rsidR="00C47BAB" w:rsidRPr="00345952" w:rsidRDefault="00C47BAB" w:rsidP="00C47BAB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48B325D2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BED736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352F801" w14:textId="3BE65604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2100F97C" w14:textId="77777777" w:rsidR="00C47BAB" w:rsidRPr="00E34F88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D6FC997" w14:textId="22FB9D54" w:rsidR="00C47BAB" w:rsidRDefault="00C47BAB" w:rsidP="00C47BA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04957189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2EEE35DC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244E0C4C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13A93C1" w14:textId="3EFB43F3" w:rsidR="00C47BAB" w:rsidRPr="0027235A" w:rsidRDefault="00C47BAB" w:rsidP="00C47BA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408" w:type="dxa"/>
            <w:vAlign w:val="bottom"/>
          </w:tcPr>
          <w:p w14:paraId="1F432C48" w14:textId="3F0C85B5" w:rsidR="00C47BAB" w:rsidRPr="00333737" w:rsidRDefault="00C47BAB" w:rsidP="00C47BA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Э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ноксапарин</w:t>
            </w:r>
            <w:proofErr w:type="spellEnd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en-US"/>
              </w:rPr>
              <w:t>0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,4 мл</w:t>
            </w:r>
          </w:p>
        </w:tc>
        <w:tc>
          <w:tcPr>
            <w:tcW w:w="1021" w:type="dxa"/>
            <w:vAlign w:val="center"/>
          </w:tcPr>
          <w:p w14:paraId="6F067F79" w14:textId="77777777" w:rsidR="00C47BAB" w:rsidRPr="00333737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6755436F" w14:textId="5ECA5BBD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Э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ноксапарин</w:t>
            </w:r>
            <w:proofErr w:type="spellEnd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натрия)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раствор для </w:t>
            </w:r>
            <w:proofErr w:type="spellStart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иньекций</w:t>
            </w:r>
            <w:proofErr w:type="spellEnd"/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3085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40 мг/0,4мл, 0,4 мл готовые шприцы</w:t>
            </w:r>
          </w:p>
        </w:tc>
        <w:tc>
          <w:tcPr>
            <w:tcW w:w="1080" w:type="dxa"/>
            <w:vAlign w:val="bottom"/>
          </w:tcPr>
          <w:p w14:paraId="4D08EA8A" w14:textId="4E3FDD11" w:rsidR="00C47BAB" w:rsidRPr="00345952" w:rsidRDefault="00C47BAB" w:rsidP="00C47BAB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A1A9B94" w14:textId="77777777" w:rsidR="00C47BAB" w:rsidRPr="00333737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9CF68BD" w14:textId="77777777" w:rsidR="00C47BAB" w:rsidRPr="00333737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4F1EAAF" w14:textId="2E24F341" w:rsidR="00C47BAB" w:rsidRPr="00333737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0FC5151E" w14:textId="77777777" w:rsidR="00C47BAB" w:rsidRPr="00333737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6C7D5B3" w14:textId="13C09427" w:rsidR="00C47BAB" w:rsidRDefault="00C47BAB" w:rsidP="00C47BA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0B5DF78B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22A28087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039512C4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08FD9484" w14:textId="31CC417D" w:rsidR="00C47BAB" w:rsidRPr="0027235A" w:rsidRDefault="00C47BAB" w:rsidP="00C47BAB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33621140</w:t>
            </w:r>
          </w:p>
        </w:tc>
        <w:tc>
          <w:tcPr>
            <w:tcW w:w="2408" w:type="dxa"/>
            <w:vAlign w:val="bottom"/>
          </w:tcPr>
          <w:p w14:paraId="03373EFC" w14:textId="08C7B86A" w:rsidR="00C47BAB" w:rsidRPr="005E3164" w:rsidRDefault="00C47BAB" w:rsidP="00C47BAB">
            <w:pPr>
              <w:widowControl w:val="0"/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  <w:lang w:val="hy-AM"/>
              </w:rPr>
              <w:t>К</w:t>
            </w:r>
            <w:proofErr w:type="spellStart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>лопидогрел</w:t>
            </w:r>
            <w:proofErr w:type="spellEnd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>клопидогрел</w:t>
            </w:r>
            <w:proofErr w:type="spellEnd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 xml:space="preserve"> гидросульфат)</w:t>
            </w:r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  <w:lang w:val="hy-AM"/>
              </w:rPr>
              <w:t>75мг</w:t>
            </w:r>
          </w:p>
        </w:tc>
        <w:tc>
          <w:tcPr>
            <w:tcW w:w="1021" w:type="dxa"/>
            <w:vAlign w:val="center"/>
          </w:tcPr>
          <w:p w14:paraId="7977F168" w14:textId="77777777" w:rsidR="00C47BAB" w:rsidRPr="005E3164" w:rsidRDefault="00C47BAB" w:rsidP="00C47BAB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097514E7" w14:textId="511B1C93" w:rsidR="00C47BAB" w:rsidRPr="005E3164" w:rsidRDefault="00C47BAB" w:rsidP="00C47BAB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К</w:t>
            </w:r>
            <w:proofErr w:type="spellStart"/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лопидогрел</w:t>
            </w:r>
            <w:proofErr w:type="spellEnd"/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клопидогрел</w:t>
            </w:r>
            <w:proofErr w:type="spellEnd"/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гидросульфат) 75</w:t>
            </w:r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мг, </w:t>
            </w:r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 покрытые оболочкой</w:t>
            </w:r>
          </w:p>
        </w:tc>
        <w:tc>
          <w:tcPr>
            <w:tcW w:w="1080" w:type="dxa"/>
            <w:vAlign w:val="bottom"/>
          </w:tcPr>
          <w:p w14:paraId="6BAF9E88" w14:textId="399E5AE3" w:rsidR="00C47BAB" w:rsidRPr="00345952" w:rsidRDefault="00C47BAB" w:rsidP="00C47BAB">
            <w:pPr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4B61C596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E5E0D7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DEF4750" w14:textId="1AF347A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2F8F8C2D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1015D99" w14:textId="4E43EFDF" w:rsidR="00C47BAB" w:rsidRDefault="00C47BAB" w:rsidP="00C47B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1C707E1B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14496550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60B5198D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1EA21A41" w14:textId="156FD063" w:rsidR="00C47BAB" w:rsidRPr="0027235A" w:rsidRDefault="00C47BAB" w:rsidP="00C47BAB">
            <w:pPr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33611360</w:t>
            </w:r>
          </w:p>
        </w:tc>
        <w:tc>
          <w:tcPr>
            <w:tcW w:w="2408" w:type="dxa"/>
          </w:tcPr>
          <w:p w14:paraId="4BD5F5E5" w14:textId="1F8EEA88" w:rsidR="00C47BAB" w:rsidRPr="005E3164" w:rsidRDefault="00C47BAB" w:rsidP="00C47BAB">
            <w:pPr>
              <w:widowControl w:val="0"/>
              <w:spacing w:after="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774A98">
              <w:rPr>
                <w:rFonts w:ascii="Sylfaen" w:hAnsi="Sylfaen" w:cs="Helvetica"/>
                <w:sz w:val="18"/>
                <w:szCs w:val="18"/>
              </w:rPr>
              <w:t>Холекальциферол</w:t>
            </w:r>
            <w:r w:rsidRPr="00774A98">
              <w:rPr>
                <w:rFonts w:ascii="Sylfaen" w:hAnsi="Sylfaen"/>
                <w:sz w:val="18"/>
                <w:szCs w:val="18"/>
              </w:rPr>
              <w:t xml:space="preserve">  </w:t>
            </w:r>
            <w:r w:rsidRPr="00C6079D">
              <w:rPr>
                <w:rFonts w:ascii="Sylfaen" w:hAnsi="Sylfaen"/>
                <w:sz w:val="18"/>
                <w:szCs w:val="18"/>
              </w:rPr>
              <w:t>10</w:t>
            </w:r>
            <w:proofErr w:type="gramEnd"/>
            <w:r w:rsidRPr="00C6079D">
              <w:rPr>
                <w:rFonts w:ascii="Sylfaen" w:hAnsi="Sylfaen"/>
                <w:sz w:val="18"/>
                <w:szCs w:val="18"/>
              </w:rPr>
              <w:t>мл</w:t>
            </w:r>
          </w:p>
        </w:tc>
        <w:tc>
          <w:tcPr>
            <w:tcW w:w="1021" w:type="dxa"/>
            <w:vAlign w:val="center"/>
          </w:tcPr>
          <w:p w14:paraId="6A473A90" w14:textId="77777777" w:rsidR="00C47BAB" w:rsidRPr="005E3164" w:rsidRDefault="00C47BAB" w:rsidP="00C47BAB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668C45F1" w14:textId="48C81B14" w:rsidR="00C47BAB" w:rsidRPr="00333737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774A98">
              <w:rPr>
                <w:rFonts w:ascii="Sylfaen" w:hAnsi="Sylfaen" w:cs="Helvetica"/>
                <w:sz w:val="18"/>
                <w:szCs w:val="18"/>
              </w:rPr>
              <w:t xml:space="preserve">Холекальциферол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cholecalcifero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10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</w:rPr>
              <w:t xml:space="preserve">мл 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proofErr w:type="gram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капли оральные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15000 МЕ / мл, 10 мл стеклянной бутылки</w:t>
            </w:r>
          </w:p>
        </w:tc>
        <w:tc>
          <w:tcPr>
            <w:tcW w:w="1080" w:type="dxa"/>
            <w:vAlign w:val="bottom"/>
          </w:tcPr>
          <w:p w14:paraId="2E641F18" w14:textId="4FD88832" w:rsidR="00C47BAB" w:rsidRPr="00345952" w:rsidRDefault="00C47BAB" w:rsidP="00C47BAB">
            <w:pPr>
              <w:jc w:val="center"/>
              <w:rPr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209AED0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844C42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66E72FD" w14:textId="5196AE2B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75" w:type="dxa"/>
            <w:vMerge/>
            <w:vAlign w:val="center"/>
          </w:tcPr>
          <w:p w14:paraId="363E4D25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225A3D" w14:textId="436268F0" w:rsidR="00C47BAB" w:rsidRDefault="00C47BAB" w:rsidP="00C47B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437" w:type="dxa"/>
            <w:vMerge/>
            <w:vAlign w:val="center"/>
          </w:tcPr>
          <w:p w14:paraId="33EC88D0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1B6E1282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6E96B005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25EBAAED" w14:textId="78A0169A" w:rsidR="00C47BAB" w:rsidRPr="00450E86" w:rsidRDefault="00C47BAB" w:rsidP="00C47BAB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33651112</w:t>
            </w:r>
          </w:p>
        </w:tc>
        <w:tc>
          <w:tcPr>
            <w:tcW w:w="2408" w:type="dxa"/>
          </w:tcPr>
          <w:p w14:paraId="5D090A5B" w14:textId="687AC802" w:rsidR="00C47BAB" w:rsidRPr="006A1CAF" w:rsidRDefault="00C47BAB" w:rsidP="00C47BAB">
            <w:pPr>
              <w:widowControl w:val="0"/>
              <w:spacing w:after="0"/>
              <w:rPr>
                <w:rFonts w:ascii="Sylfaen" w:hAnsi="Sylfaen" w:cs="Helvetica"/>
                <w:sz w:val="18"/>
                <w:szCs w:val="18"/>
                <w:lang w:val="en-US"/>
              </w:rPr>
            </w:pP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>А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моксициллин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, 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клавулановая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 кислота</w:t>
            </w: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 xml:space="preserve"> </w:t>
            </w:r>
            <w:r w:rsidRPr="0049265B">
              <w:rPr>
                <w:rFonts w:ascii="Helvetica" w:hAnsi="Helvetica" w:cs="Helvetica"/>
                <w:sz w:val="16"/>
                <w:szCs w:val="16"/>
              </w:rPr>
              <w:t>100 мл</w:t>
            </w:r>
          </w:p>
        </w:tc>
        <w:tc>
          <w:tcPr>
            <w:tcW w:w="1021" w:type="dxa"/>
            <w:vAlign w:val="center"/>
          </w:tcPr>
          <w:p w14:paraId="3EDF311B" w14:textId="77777777" w:rsidR="00C47BAB" w:rsidRPr="005E3164" w:rsidRDefault="00C47BAB" w:rsidP="00C47BAB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</w:tcPr>
          <w:p w14:paraId="136BAFCE" w14:textId="63A7535A" w:rsidR="00C47BAB" w:rsidRPr="006A1CAF" w:rsidRDefault="00C47BAB" w:rsidP="00C47BAB">
            <w:pPr>
              <w:spacing w:after="0" w:line="240" w:lineRule="auto"/>
              <w:rPr>
                <w:rFonts w:ascii="Sylfaen" w:hAnsi="Sylfaen" w:cs="Helvetica"/>
                <w:sz w:val="16"/>
                <w:szCs w:val="16"/>
                <w:lang w:val="hy-AM"/>
              </w:rPr>
            </w:pP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>А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моксициллин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 (тригидрат амоксициллина), 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клавулановая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 кислота (</w:t>
            </w:r>
            <w:proofErr w:type="spellStart"/>
            <w:r w:rsidRPr="0049265B">
              <w:rPr>
                <w:rFonts w:ascii="Helvetica" w:hAnsi="Helvetica" w:cs="Helvetica"/>
                <w:sz w:val="16"/>
                <w:szCs w:val="16"/>
              </w:rPr>
              <w:t>клавуланат</w:t>
            </w:r>
            <w:proofErr w:type="spellEnd"/>
            <w:r w:rsidRPr="0049265B">
              <w:rPr>
                <w:rFonts w:ascii="Helvetica" w:hAnsi="Helvetica" w:cs="Helvetica"/>
                <w:sz w:val="16"/>
                <w:szCs w:val="16"/>
              </w:rPr>
              <w:t xml:space="preserve"> калия)</w:t>
            </w: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 xml:space="preserve"> </w:t>
            </w:r>
            <w:r w:rsidRPr="0049265B">
              <w:rPr>
                <w:rFonts w:ascii="Helvetica" w:hAnsi="Helvetica" w:cs="Helvetica"/>
                <w:sz w:val="16"/>
                <w:szCs w:val="16"/>
              </w:rPr>
              <w:t>порошок для пероральной суспензии</w:t>
            </w:r>
            <w:r w:rsidRPr="0049265B">
              <w:rPr>
                <w:rFonts w:ascii="Helvetica" w:hAnsi="Helvetica" w:cs="Helvetica"/>
                <w:sz w:val="16"/>
                <w:szCs w:val="16"/>
                <w:lang w:val="hy-AM"/>
              </w:rPr>
              <w:t xml:space="preserve"> </w:t>
            </w:r>
            <w:r w:rsidRPr="0049265B">
              <w:rPr>
                <w:rFonts w:ascii="Helvetica" w:hAnsi="Helvetica" w:cs="Helvetica"/>
                <w:sz w:val="16"/>
                <w:szCs w:val="16"/>
              </w:rPr>
              <w:t>125 мг / 5 мл + 31,25 мг / 5 мл, стеклянная бутылка 100 мл и мерная ложка</w:t>
            </w:r>
          </w:p>
        </w:tc>
        <w:tc>
          <w:tcPr>
            <w:tcW w:w="1080" w:type="dxa"/>
            <w:vAlign w:val="bottom"/>
          </w:tcPr>
          <w:p w14:paraId="254420E5" w14:textId="15E604C5" w:rsidR="00C47BAB" w:rsidRPr="00C6079D" w:rsidRDefault="00C47BAB" w:rsidP="00C47BA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41AEA75D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4578123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01FA34" w14:textId="70A53668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42E8523D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5A7D496" w14:textId="62D2A817" w:rsidR="00C47BAB" w:rsidRDefault="00C47BAB" w:rsidP="00C47B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729363F1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193DEE6D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5EC0680E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1664D18E" w14:textId="7D5307DE" w:rsidR="00C47BAB" w:rsidRPr="0027235A" w:rsidRDefault="00C47BAB" w:rsidP="00C47BA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408" w:type="dxa"/>
            <w:vAlign w:val="bottom"/>
          </w:tcPr>
          <w:p w14:paraId="34C800B7" w14:textId="41E8ED1E" w:rsidR="00C47BAB" w:rsidRPr="00FA6A0B" w:rsidRDefault="00C47BAB" w:rsidP="00C47BA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Азитромицин </w:t>
            </w:r>
            <w:r w:rsidRPr="00C6079D">
              <w:rPr>
                <w:rFonts w:ascii="Sylfaen" w:hAnsi="Sylfaen"/>
                <w:sz w:val="18"/>
                <w:szCs w:val="18"/>
              </w:rPr>
              <w:t>500</w:t>
            </w:r>
            <w:r w:rsidRPr="00C6079D">
              <w:rPr>
                <w:rFonts w:ascii="Sylfaen" w:hAnsi="Sylfaen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77D034EF" w14:textId="77777777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4DA456C6" w14:textId="1FDD5F75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Азитромицин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Azithromycin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таблетки, покрытые пленочной оболочкой</w:t>
            </w:r>
            <w:r w:rsidRPr="00C6079D">
              <w:rPr>
                <w:rFonts w:ascii="Sylfaen" w:hAnsi="Sylfaen"/>
                <w:sz w:val="18"/>
                <w:szCs w:val="18"/>
              </w:rPr>
              <w:t xml:space="preserve"> 500мг</w:t>
            </w:r>
          </w:p>
        </w:tc>
        <w:tc>
          <w:tcPr>
            <w:tcW w:w="1080" w:type="dxa"/>
            <w:vAlign w:val="bottom"/>
          </w:tcPr>
          <w:p w14:paraId="34A1BBE7" w14:textId="499175F2" w:rsidR="00C47BAB" w:rsidRPr="00345952" w:rsidRDefault="00C47BAB" w:rsidP="00C47BAB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Arial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3BB25BD1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4794508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B5A1127" w14:textId="65AFEEA8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1100</w:t>
            </w:r>
          </w:p>
        </w:tc>
        <w:tc>
          <w:tcPr>
            <w:tcW w:w="1275" w:type="dxa"/>
            <w:vMerge/>
            <w:vAlign w:val="center"/>
          </w:tcPr>
          <w:p w14:paraId="49510FC9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5D76D5B" w14:textId="5505A22C" w:rsidR="00C47BAB" w:rsidRDefault="00C47BAB" w:rsidP="00C47B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1100</w:t>
            </w:r>
          </w:p>
        </w:tc>
        <w:tc>
          <w:tcPr>
            <w:tcW w:w="1437" w:type="dxa"/>
            <w:vMerge/>
            <w:vAlign w:val="center"/>
          </w:tcPr>
          <w:p w14:paraId="748B2601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4694E627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18D040F5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0858A371" w14:textId="62330DFF" w:rsidR="00C47BAB" w:rsidRPr="00450E86" w:rsidRDefault="00C47BAB" w:rsidP="00C47BAB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8B703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408" w:type="dxa"/>
            <w:vAlign w:val="bottom"/>
          </w:tcPr>
          <w:p w14:paraId="4B82CE83" w14:textId="07EC0043" w:rsidR="00C47BAB" w:rsidRPr="00C6079D" w:rsidRDefault="00C47BAB" w:rsidP="00C47BAB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Азитромицин </w:t>
            </w:r>
            <w:proofErr w:type="gramStart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порошок  для</w:t>
            </w:r>
            <w:proofErr w:type="gramEnd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суспензии 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внутреннего применения. 100мг/5мл 20мл</w:t>
            </w:r>
          </w:p>
        </w:tc>
        <w:tc>
          <w:tcPr>
            <w:tcW w:w="1021" w:type="dxa"/>
            <w:vAlign w:val="bottom"/>
          </w:tcPr>
          <w:p w14:paraId="743954B9" w14:textId="77777777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567434F1" w14:textId="102DD99C" w:rsidR="00C47BAB" w:rsidRPr="00C6079D" w:rsidRDefault="00C47BAB" w:rsidP="00C47BAB">
            <w:pPr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Азитромицин </w:t>
            </w:r>
            <w:proofErr w:type="gramStart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порошок  для</w:t>
            </w:r>
            <w:proofErr w:type="gramEnd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суспензии 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внутреннего применения. 100мг/5мл 20мл</w:t>
            </w:r>
          </w:p>
        </w:tc>
        <w:tc>
          <w:tcPr>
            <w:tcW w:w="1080" w:type="dxa"/>
            <w:vAlign w:val="center"/>
          </w:tcPr>
          <w:p w14:paraId="431FE595" w14:textId="30A56BC0" w:rsidR="00C47BAB" w:rsidRPr="00C6079D" w:rsidRDefault="00C47BAB" w:rsidP="00C47BAB">
            <w:pPr>
              <w:spacing w:after="0" w:line="240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A1AAB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39B74B6A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7D4E385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D294021" w14:textId="6B2A0C9E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275" w:type="dxa"/>
            <w:vMerge/>
            <w:vAlign w:val="center"/>
          </w:tcPr>
          <w:p w14:paraId="428E1186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F430BDB" w14:textId="20473E71" w:rsidR="00C47BAB" w:rsidRDefault="00C47BAB" w:rsidP="00C47B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437" w:type="dxa"/>
            <w:vMerge/>
            <w:vAlign w:val="center"/>
          </w:tcPr>
          <w:p w14:paraId="2A2ACA05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21898D5A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4C963922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A1AB594" w14:textId="5CDDFA30" w:rsidR="00C47BAB" w:rsidRPr="00450E86" w:rsidRDefault="00C47BAB" w:rsidP="00C47BAB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8B7036">
              <w:rPr>
                <w:rFonts w:ascii="GHEA Grapalat" w:hAnsi="GHEA Grapalat" w:cs="Calibri"/>
                <w:sz w:val="18"/>
                <w:szCs w:val="18"/>
              </w:rPr>
              <w:t>33651125</w:t>
            </w:r>
          </w:p>
        </w:tc>
        <w:tc>
          <w:tcPr>
            <w:tcW w:w="2408" w:type="dxa"/>
            <w:vAlign w:val="bottom"/>
          </w:tcPr>
          <w:p w14:paraId="2DB4BBA5" w14:textId="7A04857D" w:rsidR="00C47BAB" w:rsidRPr="00C6079D" w:rsidRDefault="00C47BAB" w:rsidP="00C47BAB">
            <w:pPr>
              <w:widowControl w:val="0"/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Азитромицин </w:t>
            </w:r>
            <w:proofErr w:type="gramStart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порошок  для</w:t>
            </w:r>
            <w:proofErr w:type="gramEnd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суспензии 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внутреннего применения.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00мг/5мл 20мл</w:t>
            </w:r>
          </w:p>
        </w:tc>
        <w:tc>
          <w:tcPr>
            <w:tcW w:w="1021" w:type="dxa"/>
            <w:vAlign w:val="bottom"/>
          </w:tcPr>
          <w:p w14:paraId="098F6A5C" w14:textId="77777777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5DEFEE7D" w14:textId="19E131FD" w:rsidR="00C47BAB" w:rsidRPr="00C6079D" w:rsidRDefault="00C47BAB" w:rsidP="00C47BAB">
            <w:pPr>
              <w:spacing w:after="0" w:line="240" w:lineRule="auto"/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</w:pP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Азитромицин </w:t>
            </w:r>
            <w:proofErr w:type="gramStart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порошок  для</w:t>
            </w:r>
            <w:proofErr w:type="gramEnd"/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суспензии 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внутреннего применения.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  <w:r w:rsidRPr="00397875">
              <w:rPr>
                <w:rFonts w:ascii="GHEA Grapalat" w:hAnsi="GHEA Grapalat" w:cs="Calibri"/>
                <w:color w:val="000000"/>
                <w:sz w:val="18"/>
                <w:szCs w:val="18"/>
              </w:rPr>
              <w:t>00мг/5мл 20мл</w:t>
            </w:r>
          </w:p>
        </w:tc>
        <w:tc>
          <w:tcPr>
            <w:tcW w:w="1080" w:type="dxa"/>
            <w:vAlign w:val="center"/>
          </w:tcPr>
          <w:p w14:paraId="589D0B8C" w14:textId="49D105A9" w:rsidR="00C47BAB" w:rsidRPr="00C6079D" w:rsidRDefault="00C47BAB" w:rsidP="00C47BAB">
            <w:pPr>
              <w:spacing w:after="0" w:line="240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A1AAB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1BD0E768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4A49B0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4F9B4AA" w14:textId="0A29E01C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160</w:t>
            </w:r>
          </w:p>
        </w:tc>
        <w:tc>
          <w:tcPr>
            <w:tcW w:w="1275" w:type="dxa"/>
            <w:vMerge/>
            <w:vAlign w:val="center"/>
          </w:tcPr>
          <w:p w14:paraId="4A949B6C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21B6AE1" w14:textId="0FD9FB5F" w:rsidR="00C47BAB" w:rsidRDefault="00C47BAB" w:rsidP="00C47B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160</w:t>
            </w:r>
          </w:p>
        </w:tc>
        <w:tc>
          <w:tcPr>
            <w:tcW w:w="1437" w:type="dxa"/>
            <w:vMerge/>
            <w:vAlign w:val="center"/>
          </w:tcPr>
          <w:p w14:paraId="30E0221D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5261505B" w14:textId="77777777" w:rsidTr="009C79AC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77F07B06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5FAC948E" w14:textId="39B3EEF7" w:rsidR="00C47BAB" w:rsidRPr="0027235A" w:rsidRDefault="00C47BAB" w:rsidP="00C47BAB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33651139</w:t>
            </w:r>
          </w:p>
        </w:tc>
        <w:tc>
          <w:tcPr>
            <w:tcW w:w="2408" w:type="dxa"/>
          </w:tcPr>
          <w:p w14:paraId="7ACC03B1" w14:textId="18496DE3" w:rsidR="00C47BAB" w:rsidRPr="005E3164" w:rsidRDefault="00C47BAB" w:rsidP="00C47BAB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Моксифлоксацин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246A79">
              <w:rPr>
                <w:rFonts w:ascii="Sylfaen" w:hAnsi="Sylfaen" w:cs="Calibri"/>
                <w:sz w:val="18"/>
                <w:szCs w:val="18"/>
              </w:rPr>
              <w:t>400</w:t>
            </w:r>
            <w:proofErr w:type="gramEnd"/>
            <w:r>
              <w:rPr>
                <w:rFonts w:ascii="Sylfaen" w:hAnsi="Sylfaen" w:cs="Calibri"/>
                <w:sz w:val="18"/>
                <w:szCs w:val="18"/>
              </w:rPr>
              <w:t xml:space="preserve">мг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250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7FB6A405" w14:textId="77777777" w:rsidR="00C47BAB" w:rsidRPr="005E3164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1CBF4470" w14:textId="08BD0DD3" w:rsidR="00C47BAB" w:rsidRPr="00FA6A0B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М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оксифлоксацин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моксифлоксацингидрохлорид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раствор для инфузий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400мг/250мл; 250мл светонепроницаемый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пл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астиковый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пакет</w:t>
            </w:r>
          </w:p>
        </w:tc>
        <w:tc>
          <w:tcPr>
            <w:tcW w:w="1080" w:type="dxa"/>
            <w:vAlign w:val="bottom"/>
          </w:tcPr>
          <w:p w14:paraId="70B13076" w14:textId="301AC5C4" w:rsidR="00C47BAB" w:rsidRPr="00345952" w:rsidRDefault="00C47BAB" w:rsidP="00C47BAB">
            <w:pPr>
              <w:spacing w:after="0" w:line="240" w:lineRule="auto"/>
              <w:jc w:val="center"/>
              <w:rPr>
                <w:lang w:val="hy-AM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пл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аст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пакет</w:t>
            </w:r>
          </w:p>
        </w:tc>
        <w:tc>
          <w:tcPr>
            <w:tcW w:w="709" w:type="dxa"/>
            <w:vAlign w:val="center"/>
          </w:tcPr>
          <w:p w14:paraId="589D0C69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F20791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F18FCF9" w14:textId="77F7DDEE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6CADB83E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F820FEB" w14:textId="1888E5FB" w:rsidR="00C47BAB" w:rsidRDefault="00C47BAB" w:rsidP="00C47B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1BA98BB5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59EAE134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3B028BC4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BB8C441" w14:textId="725BC4E9" w:rsidR="00C47BAB" w:rsidRDefault="00C47BAB" w:rsidP="00C47BA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33621610</w:t>
            </w:r>
          </w:p>
        </w:tc>
        <w:tc>
          <w:tcPr>
            <w:tcW w:w="2408" w:type="dxa"/>
            <w:vAlign w:val="bottom"/>
          </w:tcPr>
          <w:p w14:paraId="2A4DDA97" w14:textId="5DB360EC" w:rsidR="00C47BAB" w:rsidRPr="00CE2AD7" w:rsidRDefault="00C47BAB" w:rsidP="00C47BAB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Манитол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100мг/мл, 500мл</w:t>
            </w:r>
          </w:p>
        </w:tc>
        <w:tc>
          <w:tcPr>
            <w:tcW w:w="1021" w:type="dxa"/>
            <w:vAlign w:val="center"/>
          </w:tcPr>
          <w:p w14:paraId="07C798C4" w14:textId="77777777" w:rsidR="00C47BAB" w:rsidRPr="00CE2AD7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14:paraId="0F3C5CBD" w14:textId="42EEDAEE" w:rsidR="00C47BAB" w:rsidRPr="00333737" w:rsidRDefault="00C47BAB" w:rsidP="00C47BA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Манитол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Mannitol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), раствор для инфузий, 100мг/мл, 500мл пластик упаковка</w:t>
            </w:r>
          </w:p>
        </w:tc>
        <w:tc>
          <w:tcPr>
            <w:tcW w:w="1080" w:type="dxa"/>
            <w:vAlign w:val="bottom"/>
          </w:tcPr>
          <w:p w14:paraId="19BE87B8" w14:textId="37F6EEBA" w:rsidR="00C47BAB" w:rsidRPr="00CB67D2" w:rsidRDefault="00C47BAB" w:rsidP="00C47BAB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пластик упаковка</w:t>
            </w:r>
          </w:p>
        </w:tc>
        <w:tc>
          <w:tcPr>
            <w:tcW w:w="709" w:type="dxa"/>
            <w:vAlign w:val="center"/>
          </w:tcPr>
          <w:p w14:paraId="3D695524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CF421DE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C408AF" w14:textId="46AD7FC0" w:rsidR="00C47BAB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578DDC8B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529875" w14:textId="2788D7A6" w:rsidR="00C47BAB" w:rsidRDefault="00C47BAB" w:rsidP="00C47B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13AFCA26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524CFDE6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58C5E0DD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3A505919" w14:textId="2EE38CC4" w:rsidR="00C47BAB" w:rsidRDefault="00C47BAB" w:rsidP="00C47BA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33621774</w:t>
            </w:r>
          </w:p>
        </w:tc>
        <w:tc>
          <w:tcPr>
            <w:tcW w:w="2408" w:type="dxa"/>
            <w:vAlign w:val="bottom"/>
          </w:tcPr>
          <w:p w14:paraId="3776F39E" w14:textId="7FB805FC" w:rsidR="00C47BAB" w:rsidRPr="00CE2AD7" w:rsidRDefault="00C47BAB" w:rsidP="00C47BAB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en-US"/>
              </w:rPr>
              <w:t>Торасемид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en-US"/>
              </w:rPr>
              <w:t xml:space="preserve"> 5мг</w:t>
            </w:r>
          </w:p>
        </w:tc>
        <w:tc>
          <w:tcPr>
            <w:tcW w:w="1021" w:type="dxa"/>
            <w:vAlign w:val="center"/>
          </w:tcPr>
          <w:p w14:paraId="696CBE93" w14:textId="77777777" w:rsidR="00C47BAB" w:rsidRPr="00CE2AD7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</w:tcPr>
          <w:p w14:paraId="0BD806DD" w14:textId="6406F814" w:rsidR="00C47BAB" w:rsidRPr="00333737" w:rsidRDefault="00C47BAB" w:rsidP="00C47BA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4770B">
              <w:rPr>
                <w:rFonts w:ascii="GHEA Grapalat" w:hAnsi="GHEA Grapalat" w:cs="Helvetica"/>
                <w:sz w:val="18"/>
                <w:szCs w:val="18"/>
                <w:lang w:val="en-US"/>
              </w:rPr>
              <w:t>Т</w:t>
            </w:r>
            <w:proofErr w:type="spellStart"/>
            <w:r w:rsidRPr="0064770B">
              <w:rPr>
                <w:rFonts w:ascii="GHEA Grapalat" w:hAnsi="GHEA Grapalat" w:cs="Helvetica"/>
                <w:sz w:val="18"/>
                <w:szCs w:val="18"/>
              </w:rPr>
              <w:t>орасемид</w:t>
            </w:r>
            <w:proofErr w:type="spellEnd"/>
            <w:r w:rsidRPr="0064770B">
              <w:rPr>
                <w:rFonts w:ascii="GHEA Grapalat" w:hAnsi="GHEA Grapalat" w:cs="Helvetica"/>
                <w:sz w:val="18"/>
                <w:szCs w:val="18"/>
              </w:rPr>
              <w:t xml:space="preserve"> (</w:t>
            </w:r>
            <w:proofErr w:type="spellStart"/>
            <w:r w:rsidRPr="0064770B">
              <w:rPr>
                <w:rFonts w:ascii="GHEA Grapalat" w:hAnsi="GHEA Grapalat" w:cs="Helvetica"/>
                <w:sz w:val="18"/>
                <w:szCs w:val="18"/>
              </w:rPr>
              <w:t>torasemide</w:t>
            </w:r>
            <w:proofErr w:type="spellEnd"/>
            <w:r w:rsidRPr="0064770B">
              <w:rPr>
                <w:rFonts w:ascii="GHEA Grapalat" w:hAnsi="GHEA Grapalat" w:cs="Helvetica"/>
                <w:sz w:val="18"/>
                <w:szCs w:val="18"/>
              </w:rPr>
              <w:t>) таблетки</w:t>
            </w:r>
            <w:r w:rsidRPr="0064770B">
              <w:rPr>
                <w:rFonts w:ascii="GHEA Grapalat" w:hAnsi="GHEA Grapalat" w:cs="Helvetica"/>
                <w:sz w:val="18"/>
                <w:szCs w:val="18"/>
                <w:lang w:val="en-US"/>
              </w:rPr>
              <w:t xml:space="preserve"> 5мг</w:t>
            </w:r>
          </w:p>
        </w:tc>
        <w:tc>
          <w:tcPr>
            <w:tcW w:w="1080" w:type="dxa"/>
            <w:vAlign w:val="bottom"/>
          </w:tcPr>
          <w:p w14:paraId="798C109E" w14:textId="03316C9C" w:rsidR="00C47BAB" w:rsidRPr="00CB67D2" w:rsidRDefault="00C47BAB" w:rsidP="00C47BAB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0D66706B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DF36574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D87EFE6" w14:textId="7D2868E7" w:rsidR="00C47BAB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130B45D1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2820EC3" w14:textId="0A248E69" w:rsidR="00C47BAB" w:rsidRDefault="00C47BAB" w:rsidP="00C47B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427D0C48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6CE51BB6" w14:textId="77777777" w:rsidTr="00D22002">
        <w:trPr>
          <w:gridAfter w:val="1"/>
          <w:wAfter w:w="55" w:type="dxa"/>
          <w:trHeight w:val="831"/>
          <w:jc w:val="center"/>
        </w:trPr>
        <w:tc>
          <w:tcPr>
            <w:tcW w:w="868" w:type="dxa"/>
            <w:vAlign w:val="center"/>
          </w:tcPr>
          <w:p w14:paraId="1220805E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03E94B20" w14:textId="42B04969" w:rsidR="00C47BAB" w:rsidRDefault="00C47BAB" w:rsidP="00C47BA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33621768</w:t>
            </w:r>
          </w:p>
        </w:tc>
        <w:tc>
          <w:tcPr>
            <w:tcW w:w="2408" w:type="dxa"/>
            <w:vAlign w:val="bottom"/>
          </w:tcPr>
          <w:p w14:paraId="27F3CE36" w14:textId="2BFE2759" w:rsidR="00C47BAB" w:rsidRPr="005E3164" w:rsidRDefault="00C47BAB" w:rsidP="00C47BAB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B3225">
              <w:rPr>
                <w:rFonts w:ascii="GHEA Grapalat" w:hAnsi="GHEA Grapalat" w:cs="Helvetica"/>
                <w:sz w:val="18"/>
                <w:szCs w:val="18"/>
                <w:lang w:val="hy-AM"/>
              </w:rPr>
              <w:t>Дилтиазем</w:t>
            </w:r>
            <w:r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r w:rsidRPr="00BB3225">
              <w:rPr>
                <w:rFonts w:ascii="GHEA Grapalat" w:hAnsi="GHEA Grapalat" w:cs="Helvetica"/>
                <w:sz w:val="18"/>
                <w:szCs w:val="18"/>
                <w:lang w:val="hy-AM"/>
              </w:rPr>
              <w:t>(гидрохлорид дилтиазема)</w:t>
            </w:r>
            <w:r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90мг</w:t>
            </w:r>
          </w:p>
        </w:tc>
        <w:tc>
          <w:tcPr>
            <w:tcW w:w="1021" w:type="dxa"/>
            <w:vAlign w:val="center"/>
          </w:tcPr>
          <w:p w14:paraId="4F3AC150" w14:textId="77777777" w:rsidR="00C47BAB" w:rsidRPr="005E3164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1C16EFC8" w14:textId="1D9E3231" w:rsidR="00C47BAB" w:rsidRPr="00333737" w:rsidRDefault="00C47BAB" w:rsidP="00C47BA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B3225">
              <w:rPr>
                <w:rFonts w:ascii="GHEA Grapalat" w:hAnsi="GHEA Grapalat" w:cs="Helvetica"/>
                <w:sz w:val="18"/>
                <w:szCs w:val="18"/>
                <w:lang w:val="hy-AM"/>
              </w:rPr>
              <w:t>Дилтиазем (гидрохлорид дилтиазема) diltiazem (diltiazem hydrochloride) капсулы с пролонгированным высвобожден</w:t>
            </w:r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ием 90мг</w:t>
            </w:r>
          </w:p>
        </w:tc>
        <w:tc>
          <w:tcPr>
            <w:tcW w:w="1080" w:type="dxa"/>
            <w:vAlign w:val="bottom"/>
          </w:tcPr>
          <w:p w14:paraId="36F99DB4" w14:textId="48AD0D99" w:rsidR="00C47BAB" w:rsidRPr="00CB67D2" w:rsidRDefault="00C47BAB" w:rsidP="00C47BAB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капсулы</w:t>
            </w:r>
          </w:p>
        </w:tc>
        <w:tc>
          <w:tcPr>
            <w:tcW w:w="709" w:type="dxa"/>
            <w:vAlign w:val="center"/>
          </w:tcPr>
          <w:p w14:paraId="2123D843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72C3BF5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70519FD" w14:textId="3E36C64D" w:rsidR="00C47BAB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19C30602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CA4162" w14:textId="157ED3C7" w:rsidR="00C47BAB" w:rsidRDefault="00C47BAB" w:rsidP="00C47B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0F3B3175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28F19956" w14:textId="77777777" w:rsidTr="00D22002">
        <w:trPr>
          <w:gridAfter w:val="1"/>
          <w:wAfter w:w="55" w:type="dxa"/>
          <w:trHeight w:val="409"/>
          <w:jc w:val="center"/>
        </w:trPr>
        <w:tc>
          <w:tcPr>
            <w:tcW w:w="868" w:type="dxa"/>
            <w:vAlign w:val="center"/>
          </w:tcPr>
          <w:p w14:paraId="3AB19CAD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4AD47EE7" w14:textId="3AD7C755" w:rsidR="00C47BAB" w:rsidRPr="000D4458" w:rsidRDefault="00C47BAB" w:rsidP="00C47BAB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33611140</w:t>
            </w:r>
          </w:p>
        </w:tc>
        <w:tc>
          <w:tcPr>
            <w:tcW w:w="2408" w:type="dxa"/>
            <w:vAlign w:val="center"/>
          </w:tcPr>
          <w:p w14:paraId="551531FE" w14:textId="3BD16D36" w:rsidR="00C47BAB" w:rsidRPr="000D4458" w:rsidRDefault="00C47BAB" w:rsidP="00C47BAB">
            <w:pPr>
              <w:widowControl w:val="0"/>
              <w:spacing w:after="0" w:line="240" w:lineRule="auto"/>
              <w:rPr>
                <w:rFonts w:ascii="GHEA Grapalat" w:hAnsi="GHEA Grapalat" w:cs="Helvetica"/>
                <w:sz w:val="18"/>
                <w:szCs w:val="18"/>
              </w:rPr>
            </w:pP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Ондансетрон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2мг/мл, 2мл ампул</w:t>
            </w:r>
          </w:p>
        </w:tc>
        <w:tc>
          <w:tcPr>
            <w:tcW w:w="1021" w:type="dxa"/>
            <w:vAlign w:val="center"/>
          </w:tcPr>
          <w:p w14:paraId="292BC174" w14:textId="77777777" w:rsidR="00C47BAB" w:rsidRPr="005A13B7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0EA9535D" w14:textId="761CAB07" w:rsidR="00C47BAB" w:rsidRPr="005E3164" w:rsidRDefault="00C47BAB" w:rsidP="00C47BAB">
            <w:pPr>
              <w:spacing w:after="0" w:line="240" w:lineRule="auto"/>
              <w:rPr>
                <w:rFonts w:ascii="GHEA Grapalat" w:hAnsi="GHEA Grapalat" w:cs="Helvetica"/>
                <w:sz w:val="18"/>
                <w:szCs w:val="18"/>
                <w:shd w:val="clear" w:color="auto" w:fill="F9F9F9"/>
              </w:rPr>
            </w:pP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Ондансетрон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ондансетрон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гидрихлорида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дигидрата)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ondansetron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ondansetron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hydrochloride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dihydrate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расствор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</w:t>
            </w:r>
            <w:proofErr w:type="spellStart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иньекции</w:t>
            </w:r>
            <w:proofErr w:type="spellEnd"/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2мг/мл, 2 мл ампул</w:t>
            </w:r>
          </w:p>
        </w:tc>
        <w:tc>
          <w:tcPr>
            <w:tcW w:w="1080" w:type="dxa"/>
          </w:tcPr>
          <w:p w14:paraId="10EFD08F" w14:textId="00B6112C" w:rsidR="00C47BAB" w:rsidRPr="000D4458" w:rsidRDefault="00C47BAB" w:rsidP="00C47BA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vAlign w:val="center"/>
          </w:tcPr>
          <w:p w14:paraId="5B20B326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085914C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F23D7F0" w14:textId="1650BA12" w:rsidR="00C47BAB" w:rsidRPr="000D4458" w:rsidRDefault="00C47BAB" w:rsidP="00C47BA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4D200F64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1FB5D3F" w14:textId="39DA860C" w:rsidR="00C47BAB" w:rsidRPr="000D4458" w:rsidRDefault="00C47BAB" w:rsidP="00C47B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033525A3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72763A04" w14:textId="77777777" w:rsidTr="00D22002">
        <w:trPr>
          <w:gridAfter w:val="1"/>
          <w:wAfter w:w="55" w:type="dxa"/>
          <w:trHeight w:val="282"/>
          <w:jc w:val="center"/>
        </w:trPr>
        <w:tc>
          <w:tcPr>
            <w:tcW w:w="868" w:type="dxa"/>
            <w:vAlign w:val="center"/>
          </w:tcPr>
          <w:p w14:paraId="579437C8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C2CE5B2" w14:textId="1C4F3D3A" w:rsidR="00C47BAB" w:rsidRPr="001C135C" w:rsidRDefault="00C47BAB" w:rsidP="00C47BA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3369117</w:t>
            </w:r>
            <w:r w:rsidR="001C135C">
              <w:rPr>
                <w:rFonts w:ascii="GHEA Grapalat" w:hAnsi="GHEA Grapalat" w:cs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2408" w:type="dxa"/>
            <w:vAlign w:val="bottom"/>
          </w:tcPr>
          <w:p w14:paraId="1174C90A" w14:textId="536F453C" w:rsidR="00C47BAB" w:rsidRDefault="00C47BAB" w:rsidP="00C47BAB">
            <w:pPr>
              <w:widowControl w:val="0"/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Карбетоцин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100мкг/мл 1мл </w:t>
            </w:r>
          </w:p>
        </w:tc>
        <w:tc>
          <w:tcPr>
            <w:tcW w:w="1021" w:type="dxa"/>
            <w:vAlign w:val="center"/>
          </w:tcPr>
          <w:p w14:paraId="48514359" w14:textId="77777777" w:rsidR="00C47BAB" w:rsidRPr="005A13B7" w:rsidRDefault="00C47BAB" w:rsidP="00C47BAB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70918871" w14:textId="534F66C2" w:rsidR="00C47BAB" w:rsidRPr="00333737" w:rsidRDefault="00C47BAB" w:rsidP="00C47BAB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Карбетоцин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100мкг/мл 1мл ампула</w:t>
            </w:r>
          </w:p>
        </w:tc>
        <w:tc>
          <w:tcPr>
            <w:tcW w:w="1080" w:type="dxa"/>
            <w:vAlign w:val="bottom"/>
          </w:tcPr>
          <w:p w14:paraId="1A2C5276" w14:textId="53544EDB" w:rsidR="00C47BAB" w:rsidRPr="00CB67D2" w:rsidRDefault="00C47BAB" w:rsidP="00C47BAB">
            <w:pPr>
              <w:spacing w:after="0" w:line="240" w:lineRule="auto"/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ампулы</w:t>
            </w:r>
          </w:p>
        </w:tc>
        <w:tc>
          <w:tcPr>
            <w:tcW w:w="709" w:type="dxa"/>
            <w:vAlign w:val="center"/>
          </w:tcPr>
          <w:p w14:paraId="316432A3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BF772C6" w14:textId="77777777" w:rsidR="00C47BAB" w:rsidRPr="00B138F3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EFB14C9" w14:textId="20B67E03" w:rsidR="00C47BAB" w:rsidRDefault="00C47BAB" w:rsidP="00C47BAB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51592A6D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4BD7568" w14:textId="57B9F821" w:rsidR="00C47BAB" w:rsidRDefault="00C47BAB" w:rsidP="00C47B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534E0081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1ABEDBD5" w14:textId="77777777" w:rsidTr="00C47BAB">
        <w:trPr>
          <w:gridAfter w:val="1"/>
          <w:wAfter w:w="55" w:type="dxa"/>
          <w:trHeight w:hRule="exact" w:val="868"/>
          <w:jc w:val="center"/>
        </w:trPr>
        <w:tc>
          <w:tcPr>
            <w:tcW w:w="868" w:type="dxa"/>
            <w:vAlign w:val="center"/>
          </w:tcPr>
          <w:p w14:paraId="3C9C8D89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5CEE91C4" w14:textId="215A9B05" w:rsidR="00C47BAB" w:rsidRDefault="00C47BAB" w:rsidP="00C47B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33651252</w:t>
            </w:r>
          </w:p>
        </w:tc>
        <w:tc>
          <w:tcPr>
            <w:tcW w:w="2408" w:type="dxa"/>
            <w:vAlign w:val="bottom"/>
          </w:tcPr>
          <w:p w14:paraId="475AF39B" w14:textId="286E7F9C" w:rsidR="00C47BAB" w:rsidRDefault="00C47BAB" w:rsidP="00C47B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Анастрозол</w:t>
            </w:r>
            <w:proofErr w:type="spellEnd"/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таблетки, покрытые пленочной оболочкой</w:t>
            </w:r>
            <w:r w:rsidRPr="007A559B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1мг</w:t>
            </w:r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07404E44" w14:textId="77777777" w:rsidR="00C47BAB" w:rsidRPr="005A13B7" w:rsidRDefault="00C47BAB" w:rsidP="00C47B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490728B8" w14:textId="67202DA9" w:rsidR="00C47BAB" w:rsidRPr="00333737" w:rsidRDefault="00C47BAB" w:rsidP="00C47B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78021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Анастрозол</w:t>
            </w:r>
            <w:proofErr w:type="spellEnd"/>
            <w:r w:rsidRPr="00780210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таблетки, покрытые пленочной оболочкой 1мг</w:t>
            </w:r>
          </w:p>
        </w:tc>
        <w:tc>
          <w:tcPr>
            <w:tcW w:w="1080" w:type="dxa"/>
          </w:tcPr>
          <w:p w14:paraId="32B20684" w14:textId="7500B9B3" w:rsidR="00C47BAB" w:rsidRPr="00CB67D2" w:rsidRDefault="00C47BAB" w:rsidP="00C47BAB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72B0D077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43A4F42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BFF4B5A" w14:textId="4FC51DDF" w:rsidR="00C47BAB" w:rsidRDefault="00C47BAB" w:rsidP="00C47B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2520</w:t>
            </w:r>
          </w:p>
        </w:tc>
        <w:tc>
          <w:tcPr>
            <w:tcW w:w="1275" w:type="dxa"/>
            <w:vMerge/>
            <w:vAlign w:val="center"/>
          </w:tcPr>
          <w:p w14:paraId="1BFA9443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7169CA3" w14:textId="4B6DBBD7" w:rsidR="00C47BAB" w:rsidRDefault="00C47BAB" w:rsidP="00C47B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2520</w:t>
            </w:r>
          </w:p>
        </w:tc>
        <w:tc>
          <w:tcPr>
            <w:tcW w:w="1437" w:type="dxa"/>
            <w:vMerge/>
            <w:vAlign w:val="center"/>
          </w:tcPr>
          <w:p w14:paraId="3984124D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47BAB" w:rsidRPr="00B138F3" w14:paraId="7A1EA8E2" w14:textId="77777777" w:rsidTr="00DA234C">
        <w:trPr>
          <w:gridAfter w:val="1"/>
          <w:wAfter w:w="55" w:type="dxa"/>
          <w:trHeight w:hRule="exact" w:val="894"/>
          <w:jc w:val="center"/>
        </w:trPr>
        <w:tc>
          <w:tcPr>
            <w:tcW w:w="868" w:type="dxa"/>
            <w:vAlign w:val="center"/>
          </w:tcPr>
          <w:p w14:paraId="27043546" w14:textId="77777777" w:rsidR="00C47BAB" w:rsidRPr="00E3397A" w:rsidRDefault="00C47BAB" w:rsidP="00C47BAB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9" w:type="dxa"/>
            <w:vAlign w:val="bottom"/>
          </w:tcPr>
          <w:p w14:paraId="677C8F6D" w14:textId="4D4AE519" w:rsidR="00C47BAB" w:rsidRDefault="00C47BAB" w:rsidP="00C47B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33611110</w:t>
            </w:r>
          </w:p>
        </w:tc>
        <w:tc>
          <w:tcPr>
            <w:tcW w:w="2408" w:type="dxa"/>
            <w:vAlign w:val="center"/>
          </w:tcPr>
          <w:p w14:paraId="30973000" w14:textId="3AFFA76B" w:rsidR="00C47BAB" w:rsidRPr="00CE2AD7" w:rsidRDefault="00C47BAB" w:rsidP="00C47B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97CB1">
              <w:rPr>
                <w:rFonts w:ascii="GHEA Grapalat" w:hAnsi="GHEA Grapalat" w:cs="Helvetica"/>
                <w:sz w:val="18"/>
                <w:szCs w:val="18"/>
              </w:rPr>
              <w:t>Гидроксид алюминия, гидроксид магния 400</w:t>
            </w:r>
            <w:r w:rsidRPr="00A97CB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мг </w:t>
            </w:r>
          </w:p>
        </w:tc>
        <w:tc>
          <w:tcPr>
            <w:tcW w:w="1021" w:type="dxa"/>
            <w:vAlign w:val="center"/>
          </w:tcPr>
          <w:p w14:paraId="33193CF4" w14:textId="77777777" w:rsidR="00C47BAB" w:rsidRPr="00CE2AD7" w:rsidRDefault="00C47BAB" w:rsidP="00C47B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2" w:type="dxa"/>
            <w:shd w:val="clear" w:color="auto" w:fill="FFFFFF" w:themeFill="background1"/>
          </w:tcPr>
          <w:p w14:paraId="6A442505" w14:textId="66F27F67" w:rsidR="00C47BAB" w:rsidRPr="00CE2AD7" w:rsidRDefault="00C47BAB" w:rsidP="00C47B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97CB1">
              <w:rPr>
                <w:rFonts w:ascii="GHEA Grapalat" w:hAnsi="GHEA Grapalat" w:cs="Helvetica"/>
                <w:sz w:val="18"/>
                <w:szCs w:val="18"/>
              </w:rPr>
              <w:t>Гидроксид алюминия, гидроксид магния (</w:t>
            </w:r>
            <w:proofErr w:type="spellStart"/>
            <w:r w:rsidRPr="00A97CB1">
              <w:rPr>
                <w:rFonts w:ascii="GHEA Grapalat" w:hAnsi="GHEA Grapalat" w:cs="Helvetica"/>
                <w:sz w:val="18"/>
                <w:szCs w:val="18"/>
              </w:rPr>
              <w:t>aluminium</w:t>
            </w:r>
            <w:proofErr w:type="spellEnd"/>
            <w:r w:rsidRPr="00A97CB1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proofErr w:type="spellStart"/>
            <w:r w:rsidRPr="00A97CB1">
              <w:rPr>
                <w:rFonts w:ascii="GHEA Grapalat" w:hAnsi="GHEA Grapalat" w:cs="Helvetica"/>
                <w:sz w:val="18"/>
                <w:szCs w:val="18"/>
              </w:rPr>
              <w:t>hydroxide</w:t>
            </w:r>
            <w:proofErr w:type="spellEnd"/>
            <w:r w:rsidRPr="00A97CB1">
              <w:rPr>
                <w:rFonts w:ascii="GHEA Grapalat" w:hAnsi="GHEA Grapalat" w:cs="Helvetica"/>
                <w:sz w:val="18"/>
                <w:szCs w:val="18"/>
              </w:rPr>
              <w:t xml:space="preserve">, </w:t>
            </w:r>
            <w:proofErr w:type="spellStart"/>
            <w:r w:rsidRPr="00A97CB1">
              <w:rPr>
                <w:rFonts w:ascii="GHEA Grapalat" w:hAnsi="GHEA Grapalat" w:cs="Helvetica"/>
                <w:sz w:val="18"/>
                <w:szCs w:val="18"/>
              </w:rPr>
              <w:t>magnesium</w:t>
            </w:r>
            <w:proofErr w:type="spellEnd"/>
            <w:r w:rsidRPr="00A97CB1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proofErr w:type="spellStart"/>
            <w:r w:rsidRPr="00A97CB1">
              <w:rPr>
                <w:rFonts w:ascii="GHEA Grapalat" w:hAnsi="GHEA Grapalat" w:cs="Helvetica"/>
                <w:sz w:val="18"/>
                <w:szCs w:val="18"/>
              </w:rPr>
              <w:t>hydroxide</w:t>
            </w:r>
            <w:proofErr w:type="spellEnd"/>
            <w:r w:rsidRPr="00A97CB1">
              <w:rPr>
                <w:rFonts w:ascii="GHEA Grapalat" w:hAnsi="GHEA Grapalat" w:cs="Helvetica"/>
                <w:sz w:val="18"/>
                <w:szCs w:val="18"/>
              </w:rPr>
              <w:t>) таблетки жевательные 400м</w:t>
            </w:r>
            <w:r w:rsidRPr="00A97CB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</w:t>
            </w:r>
          </w:p>
        </w:tc>
        <w:tc>
          <w:tcPr>
            <w:tcW w:w="1080" w:type="dxa"/>
          </w:tcPr>
          <w:p w14:paraId="534D1C7D" w14:textId="4519A91D" w:rsidR="00C47BAB" w:rsidRPr="00CB67D2" w:rsidRDefault="00C47BAB" w:rsidP="00C47BAB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таблетки</w:t>
            </w:r>
          </w:p>
        </w:tc>
        <w:tc>
          <w:tcPr>
            <w:tcW w:w="709" w:type="dxa"/>
            <w:vAlign w:val="center"/>
          </w:tcPr>
          <w:p w14:paraId="504AC1EC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EFE64C2" w14:textId="77777777" w:rsidR="00C47BAB" w:rsidRPr="00B138F3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06C4123" w14:textId="25E782DC" w:rsidR="00C47BAB" w:rsidRDefault="00C47BAB" w:rsidP="00C47B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1275" w:type="dxa"/>
            <w:vMerge/>
            <w:vAlign w:val="center"/>
          </w:tcPr>
          <w:p w14:paraId="340BD3AD" w14:textId="77777777" w:rsidR="00C47BAB" w:rsidRPr="00E34F88" w:rsidRDefault="00C47BAB" w:rsidP="00C47B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4C46645" w14:textId="6D3E8AB8" w:rsidR="00C47BAB" w:rsidRDefault="00C47BAB" w:rsidP="00C47B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1437" w:type="dxa"/>
            <w:vMerge/>
            <w:vAlign w:val="center"/>
          </w:tcPr>
          <w:p w14:paraId="3D94376A" w14:textId="77777777" w:rsidR="00C47BAB" w:rsidRPr="007339B2" w:rsidRDefault="00C47BAB" w:rsidP="00C47B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093D94D4" w14:textId="77777777" w:rsidR="000846B3" w:rsidRPr="00A51A6A" w:rsidRDefault="000846B3" w:rsidP="000846B3">
      <w:pPr>
        <w:spacing w:after="0" w:line="240" w:lineRule="auto"/>
        <w:jc w:val="both"/>
        <w:rPr>
          <w:rFonts w:ascii="GHEA Grapalat" w:hAnsi="GHEA Grapalat"/>
          <w:color w:val="FF0000"/>
          <w:lang w:val="hy-AM"/>
        </w:rPr>
      </w:pPr>
      <w:r w:rsidRPr="00F35BBC">
        <w:rPr>
          <w:rFonts w:ascii="GHEA Grapalat" w:hAnsi="GHEA Grapalat" w:cs="Calibri"/>
          <w:bCs/>
          <w:i/>
          <w:color w:val="FF0000"/>
          <w:sz w:val="20"/>
          <w:szCs w:val="20"/>
        </w:rPr>
        <w:t xml:space="preserve">      </w:t>
      </w:r>
      <w:r w:rsidRPr="00FA6A0B">
        <w:rPr>
          <w:rFonts w:ascii="GHEA Grapalat" w:hAnsi="GHEA Grapalat" w:cs="Calibri"/>
          <w:bCs/>
          <w:i/>
          <w:color w:val="FF0000"/>
          <w:sz w:val="18"/>
          <w:szCs w:val="18"/>
        </w:rPr>
        <w:t xml:space="preserve">      </w:t>
      </w:r>
      <w:r w:rsidRPr="00E55966">
        <w:rPr>
          <w:rFonts w:ascii="GHEA Grapalat" w:hAnsi="GHEA Grapalat" w:cs="Calibri"/>
          <w:bCs/>
          <w:i/>
          <w:color w:val="FF0000"/>
          <w:sz w:val="20"/>
          <w:szCs w:val="20"/>
        </w:rPr>
        <w:t>*</w:t>
      </w:r>
      <w:r w:rsidRPr="00E55966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/>
          <w:color w:val="FF0000"/>
        </w:rPr>
        <w:t>Перевозка, хранение и хранение лекарственных средств должны осуществляться в соответствии с требованиями, установленными статьей 22 Закона «О лекарственных средствах».</w:t>
      </w:r>
    </w:p>
    <w:p w14:paraId="1A834BDB" w14:textId="77777777" w:rsidR="000846B3" w:rsidRPr="00A51A6A" w:rsidRDefault="000846B3" w:rsidP="000846B3">
      <w:pPr>
        <w:spacing w:after="0" w:line="240" w:lineRule="auto"/>
        <w:ind w:left="-426"/>
        <w:jc w:val="both"/>
        <w:rPr>
          <w:rFonts w:ascii="GHEA Grapalat" w:hAnsi="GHEA Grapalat" w:cs="Courier New"/>
          <w:color w:val="FF0000"/>
          <w:sz w:val="20"/>
          <w:szCs w:val="20"/>
        </w:rPr>
      </w:pPr>
      <w:r w:rsidRPr="00A51A6A">
        <w:rPr>
          <w:rFonts w:ascii="GHEA Grapalat" w:hAnsi="GHEA Grapalat"/>
          <w:i/>
          <w:color w:val="FF0000"/>
          <w:sz w:val="20"/>
          <w:szCs w:val="20"/>
        </w:rPr>
        <w:t xml:space="preserve">   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Срок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годности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препарата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на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момент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доставки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покупателю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должен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быть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GHEA Grapalat"/>
          <w:color w:val="FF0000"/>
          <w:sz w:val="20"/>
          <w:szCs w:val="20"/>
        </w:rPr>
        <w:t>следующим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>:</w:t>
      </w:r>
    </w:p>
    <w:p w14:paraId="3A01C4EF" w14:textId="77777777" w:rsidR="000846B3" w:rsidRPr="00A51A6A" w:rsidRDefault="000846B3" w:rsidP="000846B3">
      <w:pPr>
        <w:spacing w:after="0" w:line="240" w:lineRule="auto"/>
        <w:jc w:val="both"/>
        <w:rPr>
          <w:rFonts w:ascii="GHEA Grapalat" w:hAnsi="GHEA Grapalat"/>
          <w:i/>
          <w:color w:val="FF0000"/>
          <w:sz w:val="20"/>
          <w:szCs w:val="20"/>
        </w:rPr>
      </w:pPr>
      <w:r w:rsidRPr="00A51A6A">
        <w:rPr>
          <w:rFonts w:ascii="GHEA Grapalat" w:hAnsi="GHEA Grapalat"/>
          <w:i/>
          <w:color w:val="FF0000"/>
          <w:sz w:val="20"/>
          <w:szCs w:val="20"/>
        </w:rPr>
        <w:t xml:space="preserve"> 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а. </w:t>
      </w:r>
      <w:r w:rsidRPr="00A51A6A">
        <w:rPr>
          <w:rFonts w:ascii="GHEA Grapalat" w:hAnsi="GHEA Grapalat"/>
          <w:color w:val="FF0000"/>
          <w:sz w:val="20"/>
          <w:szCs w:val="20"/>
        </w:rPr>
        <w:t>Лекарственные средства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 со сроком годности более 2,5 лет на момент доставки должны иметь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hy-AM"/>
        </w:rPr>
        <w:t xml:space="preserve">остаточный 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 xml:space="preserve">срок годности не менее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hy-AM"/>
        </w:rPr>
        <w:t>24 месяцев</w:t>
      </w:r>
      <w:r w:rsidRPr="00A51A6A">
        <w:rPr>
          <w:rFonts w:ascii="GHEA Grapalat" w:hAnsi="GHEA Grapalat" w:cs="Courier New"/>
          <w:color w:val="FF0000"/>
          <w:sz w:val="20"/>
          <w:szCs w:val="20"/>
        </w:rPr>
        <w:t>,</w:t>
      </w:r>
    </w:p>
    <w:p w14:paraId="70ECDD63" w14:textId="77777777" w:rsidR="000846B3" w:rsidRPr="00A51A6A" w:rsidRDefault="000846B3" w:rsidP="000846B3">
      <w:pPr>
        <w:pStyle w:val="HTML"/>
        <w:ind w:hanging="142"/>
        <w:rPr>
          <w:rFonts w:ascii="GHEA Grapalat" w:hAnsi="GHEA Grapalat"/>
          <w:color w:val="FF0000"/>
        </w:rPr>
      </w:pPr>
      <w:r w:rsidRPr="00A51A6A">
        <w:rPr>
          <w:rFonts w:ascii="GHEA Grapalat" w:hAnsi="GHEA Grapalat"/>
          <w:i/>
          <w:color w:val="FF0000"/>
        </w:rPr>
        <w:t xml:space="preserve"> б</w:t>
      </w:r>
      <w:r w:rsidRPr="00A51A6A">
        <w:rPr>
          <w:rFonts w:ascii="GHEA Grapalat" w:hAnsi="GHEA Grapalat"/>
          <w:color w:val="FF0000"/>
        </w:rPr>
        <w:t xml:space="preserve">. Лекарственные средства со сроком годности 2,5 года </w:t>
      </w:r>
      <w:r w:rsidRPr="00A51A6A">
        <w:rPr>
          <w:rFonts w:ascii="GHEA Grapalat" w:hAnsi="GHEA Grapalat"/>
          <w:color w:val="FF0000"/>
          <w:lang w:val="hy-AM"/>
        </w:rPr>
        <w:t xml:space="preserve">и менее на </w:t>
      </w:r>
      <w:r w:rsidRPr="00A51A6A">
        <w:rPr>
          <w:rFonts w:ascii="GHEA Grapalat" w:hAnsi="GHEA Grapalat"/>
          <w:color w:val="FF0000"/>
        </w:rPr>
        <w:t xml:space="preserve">момент доставки должны иметь </w:t>
      </w:r>
      <w:r w:rsidRPr="00A51A6A">
        <w:rPr>
          <w:rFonts w:ascii="GHEA Grapalat" w:hAnsi="GHEA Grapalat"/>
          <w:color w:val="FF0000"/>
          <w:lang w:val="hy-AM"/>
        </w:rPr>
        <w:t xml:space="preserve">остаточный </w:t>
      </w:r>
      <w:r w:rsidRPr="00A51A6A">
        <w:rPr>
          <w:rFonts w:ascii="GHEA Grapalat" w:hAnsi="GHEA Grapalat"/>
          <w:color w:val="FF0000"/>
        </w:rPr>
        <w:t xml:space="preserve">срок годности не менее </w:t>
      </w:r>
      <w:r w:rsidRPr="00A51A6A">
        <w:rPr>
          <w:rFonts w:ascii="GHEA Grapalat" w:hAnsi="GHEA Grapalat"/>
          <w:color w:val="FF0000"/>
          <w:lang w:val="hy-AM"/>
        </w:rPr>
        <w:t>12 месяцев.</w:t>
      </w:r>
    </w:p>
    <w:p w14:paraId="49F613A1" w14:textId="77777777" w:rsidR="000846B3" w:rsidRPr="00A51A6A" w:rsidRDefault="000846B3" w:rsidP="000846B3">
      <w:pPr>
        <w:pStyle w:val="HTML"/>
        <w:rPr>
          <w:rFonts w:ascii="GHEA Grapalat" w:hAnsi="GHEA Grapalat"/>
          <w:color w:val="FF0000"/>
          <w:lang w:val="hy-AM"/>
        </w:rPr>
      </w:pPr>
      <w:r w:rsidRPr="00E55966">
        <w:rPr>
          <w:rFonts w:ascii="GHEA Grapalat" w:hAnsi="GHEA Grapalat"/>
          <w:color w:val="FF0000"/>
        </w:rPr>
        <w:t xml:space="preserve">Для незарегистрированных лекарственных средств предусмотрено, что участник вместе с </w:t>
      </w:r>
      <w:r w:rsidRPr="00A51A6A">
        <w:rPr>
          <w:rFonts w:ascii="GHEA Grapalat" w:hAnsi="GHEA Grapalat"/>
          <w:color w:val="FF0000"/>
        </w:rPr>
        <w:t xml:space="preserve">обеспечениями квалификации и </w:t>
      </w:r>
      <w:r w:rsidRPr="00E55966">
        <w:rPr>
          <w:rFonts w:ascii="GHEA Grapalat" w:hAnsi="GHEA Grapalat"/>
          <w:color w:val="FF0000"/>
        </w:rPr>
        <w:t>договор</w:t>
      </w:r>
      <w:r w:rsidRPr="00A51A6A">
        <w:rPr>
          <w:rFonts w:ascii="GHEA Grapalat" w:hAnsi="GHEA Grapalat"/>
          <w:color w:val="FF0000"/>
        </w:rPr>
        <w:t>а</w:t>
      </w:r>
      <w:r w:rsidRPr="00E55966">
        <w:rPr>
          <w:rFonts w:ascii="GHEA Grapalat" w:hAnsi="GHEA Grapalat"/>
          <w:color w:val="FF0000"/>
        </w:rPr>
        <w:t xml:space="preserve">  должен предоставить удостоверяющ</w:t>
      </w:r>
      <w:r w:rsidRPr="00A51A6A">
        <w:rPr>
          <w:rFonts w:ascii="GHEA Grapalat" w:hAnsi="GHEA Grapalat"/>
          <w:color w:val="FF0000"/>
        </w:rPr>
        <w:t>ую</w:t>
      </w:r>
      <w:r w:rsidRPr="00E55966">
        <w:rPr>
          <w:rFonts w:ascii="GHEA Grapalat" w:hAnsi="GHEA Grapalat"/>
          <w:color w:val="FF0000"/>
        </w:rPr>
        <w:t xml:space="preserve"> с</w:t>
      </w:r>
      <w:r w:rsidRPr="00A51A6A">
        <w:rPr>
          <w:rFonts w:ascii="GHEA Grapalat" w:hAnsi="GHEA Grapalat"/>
          <w:color w:val="FF0000"/>
        </w:rPr>
        <w:t>п</w:t>
      </w:r>
      <w:r w:rsidRPr="00E55966">
        <w:rPr>
          <w:rFonts w:ascii="GHEA Grapalat" w:hAnsi="GHEA Grapalat"/>
          <w:color w:val="FF0000"/>
        </w:rPr>
        <w:t>ра</w:t>
      </w:r>
      <w:r w:rsidRPr="00A51A6A">
        <w:rPr>
          <w:rFonts w:ascii="GHEA Grapalat" w:hAnsi="GHEA Grapalat"/>
          <w:color w:val="FF0000"/>
        </w:rPr>
        <w:t>вку</w:t>
      </w:r>
      <w:r w:rsidRPr="00E55966">
        <w:rPr>
          <w:rFonts w:ascii="GHEA Grapalat" w:hAnsi="GHEA Grapalat"/>
          <w:color w:val="FF0000"/>
        </w:rPr>
        <w:t xml:space="preserve">, выданный государственной некоммерческой организацией «Экспертный центр лекарственных средств и медицинских технологий» Министерства здравоохранения Республики Армения. для незарегистрированных </w:t>
      </w:r>
      <w:proofErr w:type="spellStart"/>
      <w:r w:rsidRPr="00E55966">
        <w:rPr>
          <w:rFonts w:ascii="GHEA Grapalat" w:hAnsi="GHEA Grapalat"/>
          <w:color w:val="FF0000"/>
        </w:rPr>
        <w:t>препаратов</w:t>
      </w:r>
      <w:r w:rsidRPr="00A51A6A">
        <w:rPr>
          <w:rFonts w:ascii="GHEA Grapalat" w:hAnsi="GHEA Grapalat"/>
          <w:color w:val="FF0000"/>
        </w:rPr>
        <w:t>о</w:t>
      </w:r>
      <w:proofErr w:type="spellEnd"/>
      <w:r w:rsidRPr="00A51A6A">
        <w:rPr>
          <w:rFonts w:ascii="GHEA Grapalat" w:hAnsi="GHEA Grapalat"/>
          <w:color w:val="FF0000"/>
        </w:rPr>
        <w:t xml:space="preserve"> о том, что они </w:t>
      </w:r>
      <w:proofErr w:type="spellStart"/>
      <w:r w:rsidRPr="00A51A6A">
        <w:rPr>
          <w:rFonts w:ascii="GHEA Grapalat" w:hAnsi="GHEA Grapalat"/>
          <w:color w:val="FF0000"/>
        </w:rPr>
        <w:t>зарегистрированны</w:t>
      </w:r>
      <w:proofErr w:type="spellEnd"/>
      <w:r w:rsidRPr="00A51A6A">
        <w:rPr>
          <w:rFonts w:ascii="GHEA Grapalat" w:hAnsi="GHEA Grapalat"/>
          <w:color w:val="FF0000"/>
        </w:rPr>
        <w:t xml:space="preserve"> в международной профессиональной организации или в странах-членах ЕАЭС, определенных Постановлением Правительства Республики Армения N 172-А от 23 февраля 2017 года, или иметь предварительную квалификацию Всемирной организации здравоохранения, а также об отсутствии оснований для отказа в ввозе, указанных в пункте ст. 21. , ч. 8, 17 Закона «О лекарственных средствах».</w:t>
      </w:r>
    </w:p>
    <w:p w14:paraId="005BDA4A" w14:textId="77777777" w:rsidR="000846B3" w:rsidRPr="00FA6A0B" w:rsidRDefault="000846B3" w:rsidP="00084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 w:cs="Courier New"/>
          <w:color w:val="202124"/>
          <w:sz w:val="16"/>
          <w:szCs w:val="16"/>
        </w:rPr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5ED1F158" w14:textId="77777777" w:rsidR="000846B3" w:rsidRPr="00FA6A0B" w:rsidRDefault="000846B3" w:rsidP="000846B3">
      <w:pPr>
        <w:widowControl w:val="0"/>
        <w:spacing w:after="0" w:line="240" w:lineRule="auto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37249A1B" w14:textId="77777777" w:rsidR="000846B3" w:rsidRPr="00FA6A0B" w:rsidRDefault="000846B3" w:rsidP="000846B3">
      <w:pPr>
        <w:widowControl w:val="0"/>
        <w:spacing w:after="0" w:line="240" w:lineRule="auto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FA6A0B">
        <w:rPr>
          <w:rFonts w:ascii="GHEA Grapalat" w:hAnsi="GHEA Grapalat" w:cs="Courier New"/>
          <w:color w:val="202124"/>
          <w:sz w:val="16"/>
          <w:szCs w:val="16"/>
        </w:rPr>
        <w:t xml:space="preserve"> продукте производителя, </w:t>
      </w:r>
    </w:p>
    <w:p w14:paraId="1238DD92" w14:textId="77777777" w:rsidR="000846B3" w:rsidRPr="00FA6A0B" w:rsidRDefault="000846B3" w:rsidP="000846B3">
      <w:pPr>
        <w:widowControl w:val="0"/>
        <w:spacing w:after="0" w:line="240" w:lineRule="auto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5545C7E0" w14:textId="2A98E2C3" w:rsidR="00937860" w:rsidRPr="00937860" w:rsidRDefault="000846B3" w:rsidP="000846B3">
      <w:pPr>
        <w:spacing w:after="0" w:line="240" w:lineRule="auto"/>
      </w:pPr>
      <w:r w:rsidRPr="00FA6A0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p w14:paraId="3739106D" w14:textId="77777777" w:rsidR="00937860" w:rsidRPr="00937860" w:rsidRDefault="00937860" w:rsidP="000846B3">
      <w:pPr>
        <w:spacing w:after="0" w:line="240" w:lineRule="auto"/>
        <w:rPr>
          <w:lang w:val="hy-AM"/>
        </w:rPr>
      </w:pPr>
    </w:p>
    <w:sectPr w:rsidR="00937860" w:rsidRPr="00937860" w:rsidSect="00937860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ECD22" w14:textId="77777777" w:rsidR="00937860" w:rsidRDefault="00937860" w:rsidP="00937860">
      <w:pPr>
        <w:spacing w:after="0" w:line="240" w:lineRule="auto"/>
      </w:pPr>
      <w:r>
        <w:separator/>
      </w:r>
    </w:p>
  </w:endnote>
  <w:endnote w:type="continuationSeparator" w:id="0">
    <w:p w14:paraId="582D3A4E" w14:textId="77777777" w:rsidR="00937860" w:rsidRDefault="00937860" w:rsidP="00937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4E750" w14:textId="77777777" w:rsidR="00937860" w:rsidRDefault="00937860" w:rsidP="00937860">
      <w:pPr>
        <w:spacing w:after="0" w:line="240" w:lineRule="auto"/>
      </w:pPr>
      <w:r>
        <w:separator/>
      </w:r>
    </w:p>
  </w:footnote>
  <w:footnote w:type="continuationSeparator" w:id="0">
    <w:p w14:paraId="10EAF514" w14:textId="77777777" w:rsidR="00937860" w:rsidRDefault="00937860" w:rsidP="00937860">
      <w:pPr>
        <w:spacing w:after="0" w:line="240" w:lineRule="auto"/>
      </w:pPr>
      <w:r>
        <w:continuationSeparator/>
      </w:r>
    </w:p>
  </w:footnote>
  <w:footnote w:id="1">
    <w:p w14:paraId="0DE7160F" w14:textId="77777777" w:rsidR="00937860" w:rsidRPr="002F77EB" w:rsidRDefault="00937860" w:rsidP="00937860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BD13B01" w14:textId="77777777" w:rsidR="000846B3" w:rsidRPr="002F77EB" w:rsidRDefault="000846B3" w:rsidP="000846B3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54D185FB" w14:textId="77777777" w:rsidR="000846B3" w:rsidRPr="002F77EB" w:rsidRDefault="000846B3" w:rsidP="000846B3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050DC854" w14:textId="77777777" w:rsidR="000846B3" w:rsidRPr="00D97342" w:rsidRDefault="000846B3" w:rsidP="000846B3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375005">
    <w:abstractNumId w:val="0"/>
  </w:num>
  <w:num w:numId="2" w16cid:durableId="20180733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F7"/>
    <w:rsid w:val="00001AF9"/>
    <w:rsid w:val="00032A1C"/>
    <w:rsid w:val="00054DF8"/>
    <w:rsid w:val="000846B3"/>
    <w:rsid w:val="001C135C"/>
    <w:rsid w:val="00217CB0"/>
    <w:rsid w:val="0022206E"/>
    <w:rsid w:val="00252FE0"/>
    <w:rsid w:val="00263263"/>
    <w:rsid w:val="00274FEB"/>
    <w:rsid w:val="002C1BF7"/>
    <w:rsid w:val="003418A2"/>
    <w:rsid w:val="00373652"/>
    <w:rsid w:val="00397875"/>
    <w:rsid w:val="0049265B"/>
    <w:rsid w:val="004C7763"/>
    <w:rsid w:val="00543B9C"/>
    <w:rsid w:val="005D6A22"/>
    <w:rsid w:val="00633D85"/>
    <w:rsid w:val="0063797D"/>
    <w:rsid w:val="00695598"/>
    <w:rsid w:val="006A1CAF"/>
    <w:rsid w:val="006F340B"/>
    <w:rsid w:val="007D1410"/>
    <w:rsid w:val="00937860"/>
    <w:rsid w:val="00A70005"/>
    <w:rsid w:val="00AB6E23"/>
    <w:rsid w:val="00B533A1"/>
    <w:rsid w:val="00BD0084"/>
    <w:rsid w:val="00BF33FA"/>
    <w:rsid w:val="00C032FB"/>
    <w:rsid w:val="00C47BAB"/>
    <w:rsid w:val="00C905AC"/>
    <w:rsid w:val="00D22002"/>
    <w:rsid w:val="00D23F14"/>
    <w:rsid w:val="00D773D6"/>
    <w:rsid w:val="00D80F26"/>
    <w:rsid w:val="00D94EA5"/>
    <w:rsid w:val="00DA234C"/>
    <w:rsid w:val="00DD3D47"/>
    <w:rsid w:val="00DD60DE"/>
    <w:rsid w:val="00F215DB"/>
    <w:rsid w:val="00F7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1D446"/>
  <w15:chartTrackingRefBased/>
  <w15:docId w15:val="{117A98B3-540A-460E-8541-794DCF9A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860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2C1B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2C1B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C1B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C1B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C1B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2C1B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2C1B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2C1B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2C1B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1B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2C1B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2C1B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2C1BF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2C1BF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2C1B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2C1BF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2C1B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2C1B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2C1B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2C1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1B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1B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1B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1BF7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2C1BF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2C1BF7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2C1B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2C1BF7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2C1BF7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937860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937860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93786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937860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937860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937860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937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37860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937860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937860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uiPriority w:val="99"/>
    <w:rsid w:val="009378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93786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937860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937860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937860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937860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937860"/>
    <w:rPr>
      <w:color w:val="0000FF"/>
      <w:u w:val="single"/>
    </w:rPr>
  </w:style>
  <w:style w:type="character" w:customStyle="1" w:styleId="CharChar1">
    <w:name w:val="Char Char1"/>
    <w:locked/>
    <w:rsid w:val="00937860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937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937860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93786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937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937860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937860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937860"/>
  </w:style>
  <w:style w:type="paragraph" w:styleId="afa">
    <w:name w:val="footnote text"/>
    <w:basedOn w:val="a"/>
    <w:link w:val="afb"/>
    <w:semiHidden/>
    <w:rsid w:val="0093786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937860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93786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93786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93786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37860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rsid w:val="00937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937860"/>
    <w:rPr>
      <w:b/>
      <w:bCs/>
    </w:rPr>
  </w:style>
  <w:style w:type="character" w:styleId="afe">
    <w:name w:val="footnote reference"/>
    <w:semiHidden/>
    <w:rsid w:val="00937860"/>
    <w:rPr>
      <w:vertAlign w:val="superscript"/>
    </w:rPr>
  </w:style>
  <w:style w:type="character" w:customStyle="1" w:styleId="CharChar22">
    <w:name w:val="Char Char22"/>
    <w:rsid w:val="0093786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3786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3786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3786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37860"/>
    <w:rPr>
      <w:rFonts w:ascii="Arial Armenian" w:hAnsi="Arial Armenian"/>
      <w:lang w:val="en-US"/>
    </w:rPr>
  </w:style>
  <w:style w:type="character" w:styleId="aff">
    <w:name w:val="annotation reference"/>
    <w:semiHidden/>
    <w:rsid w:val="00937860"/>
    <w:rPr>
      <w:sz w:val="16"/>
      <w:szCs w:val="16"/>
    </w:rPr>
  </w:style>
  <w:style w:type="paragraph" w:styleId="aff0">
    <w:name w:val="annotation text"/>
    <w:basedOn w:val="a"/>
    <w:link w:val="aff1"/>
    <w:semiHidden/>
    <w:rsid w:val="0093786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937860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937860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937860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93786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937860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937860"/>
    <w:rPr>
      <w:vertAlign w:val="superscript"/>
    </w:rPr>
  </w:style>
  <w:style w:type="paragraph" w:styleId="aff7">
    <w:name w:val="Document Map"/>
    <w:basedOn w:val="a"/>
    <w:link w:val="aff8"/>
    <w:semiHidden/>
    <w:rsid w:val="0093786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937860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937860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uiPriority w:val="39"/>
    <w:rsid w:val="009378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378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937860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93786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3786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93786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37860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937860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93786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93786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937860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937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9378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9378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937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9378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93786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93786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93786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93786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93786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93786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93786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93786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93786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9378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9378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9378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937860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937860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37860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37860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937860"/>
  </w:style>
  <w:style w:type="paragraph" w:customStyle="1" w:styleId="120">
    <w:name w:val="Указатель 12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937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37860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93786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2">
    <w:name w:val="Index Heading2"/>
    <w:basedOn w:val="a"/>
    <w:rsid w:val="009378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d">
    <w:name w:val="Emphasis"/>
    <w:qFormat/>
    <w:rsid w:val="00937860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937860"/>
    <w:rPr>
      <w:color w:val="605E5C"/>
      <w:shd w:val="clear" w:color="auto" w:fill="E1DFDD"/>
    </w:rPr>
  </w:style>
  <w:style w:type="character" w:customStyle="1" w:styleId="UnresolvedMention1">
    <w:name w:val="Unresolved Mention1"/>
    <w:uiPriority w:val="99"/>
    <w:semiHidden/>
    <w:unhideWhenUsed/>
    <w:rsid w:val="000846B3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0846B3"/>
  </w:style>
  <w:style w:type="character" w:customStyle="1" w:styleId="tlid-translation">
    <w:name w:val="tlid-translation"/>
    <w:rsid w:val="00084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6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32</cp:revision>
  <dcterms:created xsi:type="dcterms:W3CDTF">2025-03-21T12:21:00Z</dcterms:created>
  <dcterms:modified xsi:type="dcterms:W3CDTF">2025-08-27T12:09:00Z</dcterms:modified>
</cp:coreProperties>
</file>