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 թվականի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 թվականի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 թվականի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 թվականի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ՎԱՌԵԼԻՔԻ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կանոնակարգի»:Կտրոնային, մատակարարը պետք է Գորիս քաղաքում ունենա լիցքավորման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մարտի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մարտի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մարտի 30-ը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