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համայնքապետարանի ենթակայության մանկապարտեզների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համայնքապետարանի ենթակայության մանկապարտեզների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համայնքապետարանի ենթակայության մանկապարտեզների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համայնքապետարանի ենթակայության մանկապարտեզների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Հավի կրծքամիս,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ԳՕՍՏ 31822-2012: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Խոնավությունը`3% -ից մինչև 10%, շաքարի զանգվածային պարունակությունը` 20% -ից մինչև 27%, յուղայնությունը` 3% -ից մինչև 30%: Տուփերով, համապատասխան մակնշումով, ԳՕՍՏ 24901 -2014: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9 - ի թիվ 880 որոշմամբ հաստատված «Սննդամթերքի անվտանգության մասին» (ՄՄ ՏԿ 021/2011), Մաքսային միության հանձնաժողովի 2011 թվականի դեկտեմբերի 9 - ի թիվ 881 որոշմամբ հաստատված «Սննդամթերքի մակնշման մասին» (ՄՄ ՏԿ 022/2011), Մաքսային միության հանձնաժողովի 2011 թվականի օգոստոսի 16 - ի թիվ 769 որոշմամբ հաստատված «Փաթեթվածքի անվտանգության մասին» (ՄՄ ՏԿ 005/2011) Մաքսային միության տեխնիկական կանոնակարգերի, «Սննդամթերքի անվտանգության Խոնավությունը`3% -ից մինչև 10%, շաքարի զանգվածային պարունակությունը` 20% -ից մինչև 27%, յուղայնությունը` 3% -ից մինչև 30%: Տուփերով, համապատասխան մակնշումով, ԳՕՍՏ 24901 -2014: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9 - ի թիվ 880 որոշմամբ հաստատված «Սննդամթերքի անվտանգության մասին» (ՄՄ ՏԿ 021/2011), Մաքսային միության հանձնաժողովի 2011 թվականի դեկտեմբերի 9 - ի թիվ 881 որոշմամբ հաստատված «Սննդամթերքի մակնշման մասին» (ՄՄ ՏԿ 022/2011), Մաքսային միության հանձնաժողովի 2011 թվականի օգոստոսի 16 - 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նշանով:Մակնշումը՝ ընթեռնելի: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պատրաստված թարմ խնձորից, թույլատրվող թթուների զանգվածային մասը` 4,0 %, մնացորդային սպիրտի ծավալը 0,3 %։ Անվտանգությունը` ըստ 2-III-4.9-01-2010 հիգիենիկ նորմատիվների, իսկ մակնշումը`«Սննդամթերքի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խոնավությունը` 8 %-ից ոչ ավելի: Անվտանգությունը` N 2-III-4.9-01-2010 հիգիենիկ նորմատիվների և «Սննդամթերքի անվտանգության մասին» ՀՀ օրենքի 8-րդ հոդվածի: Պիտանելիության մնացորդային ժամկետը ոչ պակաս 80 %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