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ԳՄԳՀ-ԷԱՃԱՊՁԲ-25/24</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Чистое, обескровленное, без посторонних запахов, упакованное в полиэтиленовую пленку. Безопасность и маркировка в соответствии с «Техническим регламентом на мясо и мясную продукцию», утвержденным Постановлением Правительства РА № 1560-Н от 19 октября 2006 года, и статьей 8 Закона РА «О безопасности пищевых продуктов».
Куриная грудка,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20%, кислотностью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для употребления в свежем виде, безопасность согласно санитарно-эпидемиологическим правилам и нормативам N 2-III-4,9-01-2003 (СанПин РФ 2,3,2-1078-01)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внешних повреждений. ГОСТ 31822-2012. Безопасность: в соответствии с «Техническим регламентом на свежие фрукты и овощи», утверждённым Постановлением Правительства РА № 1913-Н от 21 декабря 2006 года, и статьей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от 3% до 10%, массовая доля сахара: от 20% до 27%, жирность: от 3% до 30%. В ящиках, с соответствующей маркировкой, ГОСТ 24901-2014. Безопасность, маркировка и упаковка: пищевая продукция подлежит оценке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«О безопасности пищевой продукции» (ТС 005/2011), «Безопасность пищевой продукции». Влажность: от 3% до 10%, массовая доля сахара: от 20% до 27%, содержание жира: от 3% до 30%. В коробках, с соответствующей маркировкой, ГОСТ 24901-2014. Безопасность, маркировка и упаковка: пищевая продукция должна подлежать оценке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09.12.2011 № 880, «О пищевой продукции в части ее маркировки» (ТС 022/2011), утвержденным Решением Комиссии Таможенного союза от 09.12.2011 № 881, «О безопасности упаковки» (ТС 005/2011), утвержденным Решением Комиссии Таможенного союза от 16.08.2011 № 769, статьей 9 Закона Республики Армения «О безопасности пищевой продукции» и маркироваться единым знаком обращения продукции на территории Евразийского экономического союза. Маркировка: разборчивая.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Яблочный уксус, изготовленный из свежих яблок, с допустимой массовой долей кислот: 4,0%, остаточным содержанием спирта: 0,3%. Безопасность: согласно гигиеническим нормативам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фасованный в заводской упаковке, влажность не более 8%. Безопасность: в соответствии с гигиеническим нормативом N 2-III-4.9-01-2010 и статьей 8 Закона РА «О безопасности пищевых продуктов». Остаточный срок годности не менее 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