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ՍՉԱՄ-ԷԱՃԱՊՁԲ-25/5</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800 до 850кг/м3, содержание серы не более 10мг/кг, температура воспламенения не ниже 550С, нагар в осадке 10% 0 , не более более 3%, вязкость при 400С от 2,0 до 4,5мм2/с,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постановлением N1592 от 11 ноября. 
Поставка по купонам, которые подлежат реализации в 2025 и 2026 годах. в течение первого триместра.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за исключением случая, когда выбранный участник соглашается на поставку товара в более короткий срок, но не позднее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