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ԱԽՏԱՀԱՆԻՉ ՆՅՈՒԹԵՐԻ  ՁԵՌՔ 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ԱԽՏԱՀԱՆԻՉ ՆՅՈՒԹԵՐԻ  ՁԵՌՔ 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ԱԽՏԱՀԱՆԻՉ ՆՅՈՒԹԵՐԻ  ՁԵՌՔ 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ԱԽՏԱՀԱՆԻՉ ՆՅՈՒԹԵՐԻ  ՁԵՌՔ 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 գել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ախտահանիչ լուծւյթ խտանյութ, Եռֆերմենտային կոմպլեքս պարունակող ախտահանիչ նյութ նախատեսված վիրաբուժական և բժշկական գործիքների, ներառյալ ստոմատոլոգիական գործիքների, ջերմազգայուն գործիքների և էնդոսկոպիկ սարքավորումների ՄԱՔՐՄԱՆ, ԼՎԱՑՄԱՆ և ԱԽՏԱՀԱՆՄԱՆ ՀԱՄԱՐ: Կիրառվում է նաև ուլտրաձայնային սարքերում : Ախտահանիչ նյութն ունի լավ լվացող հատկություններ, չի փչացնում մշակվող առարկաները, չի ֆիքսում օրգանական աղտոտվածությունները, չի առաջացնում մետաղների կոռոզիա :
Արտադրող – ««ԱՆԻՈՍ Լաբորատորիաներ»», Ֆրանսիա
Ակտիվ բաղադրամասեր՝ N, N – դիդեցիլ- N, N – դիմեթիլամոնիումի կարբոնատ 1.06-1.44%, ֆերմենտային կոմպլեքս (պրոտեազա, ամիլազա, մանանազա) 0,06-0,07%,
Հավելյալ բաղադրամասեր՝ լվացող միջոցներ, կայունացուցիչներ, քելատացնող միջոց, բուրավետիչ, ներկանյութ, ջուր մինչև 100%:
Օգտագործման ցուցումներ – Նախատեսված է ընկղման միջոցով ախտահանման համար:
Օգտագործվող աշխատանքային լուծույթի խտությունը – 0.5% :
Էքսպոզիցիա (պահաժամ) – 15 րոպե:
Մաքրման վերջում լվանալ ջրով: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սնկերի (կանդիդա և դերմատոֆիտիա) նկատմամբ։ Մատակարարման պահին խտանյութի պիտանիության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ախտահանիչ լուծւյթ խտանյութ, Եռֆերմենտային կոմպլեքս պարունակող ախտահանիչ նյութ նախատեսված վիրաբուժական և բժշկական գործիքների, ներառյալ ստոմատոլոգիական գործիքների, ջերմազգայուն գործիքների և էնդոսկոպիկ սարքավորումների ՄԱՔՐՄԱՆ, ԼՎԱՑՄԱՆ և ԱԽՏԱՀԱՆՄԱՆ ՀԱՄԱՐ: Կիրառվում է նաև ուլտրաձայնային սարքերում : Ախտահանիչ նյութն ունի լավ լվացող հատկություններ, չի փչացնում մշակվող առարկաները, չի ֆիքսում օրգանական աղտոտվածությունները, չի առաջացնում մետաղների կոռոզիա :
Արտադրող – ««ԱՆԻՈՍ Լաբորատորիաներ»», Ֆրանսիա
Ակտիվ բաղադրամասեր՝ N, N – դիդեցիլ- N, N – դիմեթիլամոնիումի կարբոնատ 1.06-1.44%, ֆերմենտային կոմպլեքս (պրոտեազա, ամիլազա, մանանազա) 0,06-0,07%,
Հավելյալ բաղադրամասեր՝ լվացող միջոցներ, կայունացուցիչներ, քելատացնող միջոց, բուրավետիչ, ներկանյութ, ջուր մինչև 100%:
Օգտագործման ցուցումներ – Նախատեսված է ընկղման միջոցով ախտահանման համար:
Օգտագործվող աշխատանքային լուծույթի խտությունը – 0.5% :
Էքսպոզիցիա (պահաժամ) – 15 րոպե:
Մաքրման վերջում լվանալ ջրով: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սնկերի (կանդիդա և դերմատոֆիտիա) նկատմամբ։ Մատակարարման պահին խտանյութի պիտանիության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մեծ և փոքր մակերեսների 
ախտահանման և մաքրման համար, 
Սուրֆանիոս։ Նյութն ունի ախտահանող, լվացող և հոտակլանիչ ազդեցություն։ Օգտագործվում է մակերեսների, գույքի, սպիտակեղենի, լաբորատոր սպասքի և այլ պարագաների մաքրման և ախտահանման համար
Ծավալը	30 մլ
Արտադրող՝	ԱՆԻՈՍ ԼԱԲՈՐԱՏՈՐԻԱՆԵՐ
Բաղադրությունը`	ՉԱՄ (Չորրորդային ամոնիումի միացություններ), ինչպես նաև օժանդակող բաղադրիչներ, ոչ իոնածին մակերեսային ակտից նյութեր (ՄԱՆ), կայունացուցիչ, ջուր
Ներմուծող	ԳԱՌՆԻԼԱՅՆ ՍՊԸ
Ակտիվություն`	0.25%-ոց աշխատանքային լուծույթն ապահովում է հակաբակտերիալ՝ (ներառյալ՝ տուբերկուլոզի միկոբակտերիաները), հակավիրուսային (ներառյալ արտաընդերային հեպատիտները, ՄԻԱՎ-վարակը, պոլիոմիելիտը), և հակասնկային (այդ թվում կանդիդա, դերմատոֆիտիա, բորբոսասնկեր) ազդեցություն մինչև 60 րոպեում (ինչը հաստատված է ՀՀ Առողջապահության նախարարության կողմից հաստատված մեթոդական հրահանգներով)։ Ախտահանիչ նյութն օժտված է հակամանրէային ակտիվությամբ հատուկ վտանգավոր վարակների հարուցիչների (ժանտախտ, տուլարեմիա, լեգիոնելոզ) նկատմամբ
Հատուկ ցուցումներ	Օգտագործվող աշխատանքային լուծույթի խտությունը՝ 0,25%, պահաժամ՝ 60 րոպե։ Նախատեսված է սրբելու, ցողելու, թրջելու և ընկղման միջոցով ախտահանման համար։ Հատակի ընթացիկ մաքրման մաքրման ժամանակ հետագա ջրով լվանալու կարիք չկա։Մատակարարման պահին խտանյութի պիտանիության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նախատեսված ձեռքերի հիգիենիկ և վիրաբուժական մշակման համար:
Բաղադրություն – Դենատուրացված էթանոլ 70,00±5%
Օգտագործուման եղանակը – Գելը պետք է օգտագործել մաքուր և չոր մաշկի վրա:
Ձեռքերի հիգիենիկ մշակում – Ձեռքերին լցնել 3մլ ««Անիոսժել»» ախտահանիչ նյութ և մերսել մինչև չորանալը (30վայրկյանից ոչ պակաս), չլվանալ:
Ձեռքերի վիրաբուժական մշակում – Ախտահանիչ նյութի օգտագործումից առաջ ձեռքերը՝ դաստակները և նախաբազուկները 2րոպեի ընթացքում լվանալ օճառով (հոսող ջրովՍավոն Դու), հետո լվանալ հոսող ջրով և չորացնել թանզիֆե (թղթե) անձեռոցիկով: Ափերի մեջ լցնել 3մլ ««Անիոսժել»» (պոմպի 2 սեղմումով) և տրորել 45 վայրկյանի ընթացքում դաստակները և նախաբազուկները, այնուհետև կրկնել գործընթացը, բացառելով արմնկային հատվածի մշակումը (3մլ – 45վայրկյան): Ձեռքերի բիրաբուժական մշակումը տևում է 1.5րոպե:
Ակտիվություն – Ցուցաբերում է հակամնրէային ազդեցություն վիրուսների (ներառյալ արտաընդերային հեպատիտները, ՄԻԱՎ-վարակը), գրամդրական և գրամբացասական բակտերիաների (ներառյալ ներհիվանդանոցային վարակների հարուցիչները, տուբերկուլյոզի միկոբակտերիաները), սնկերի (կանդիդա ցեղի խմորասնկերը ) նկատմամբ:Հակամանրէային երկարացված ազդեցությունը պահպանվում է 3ժամվա ընթացքում:Մատակարարման պահին խտանյութի պիտանիության ժամկետի.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2025 թվականի ն  միանվագ  կամ  փուլային  ըստ  Պատվիր ատուի  ներկայաց ված  պահանջի ՝ 20  օրացույց ային  օրվա  ընթացքու 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2025 թվականի ն  միանվագ  կամ  փուլային  ըստ  Պատվիր ատուի  ներկայաց ված  պահանջի ՝ 20  օրացույց ային  օրվա  ընթացքու 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2025 թվականի ն  միանվագ  կամ  փուլային  ըստ  Պատվիր ատուի  ներկայաց ված  պահանջի ՝ 20  օրացույց ային  օրվա  ընթացքու 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2025 թվականի ն  միանվագ  կամ  փուլային  ըստ  Պատվիր ատուի  ներկայաց ված  պահանջի ՝ 20  օրացույց ային  օրվա  ընթացքու 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