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ԷԱՃԱՊՁԲ-2025/Լ-78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սեղանի համակարգիչներ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63 00, 010 59 64 98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ԷԱՃԱՊՁԲ-2025/Լ-78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սեղանի համակարգիչներ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սեղանի համակարգիչներ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ԷԱՃԱՊՁԲ-2025/Լ-78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սեղանի համակարգիչներ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382.61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4.7434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448.42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ԷԱՃԱՊՁԲ-2025/Լ-78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ԷԱՃԱՊՁԲ-2025/Լ-78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ԷԱՃԱՊՁԲ-2025/Լ-78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ԷԱՃԱՊՁԲ-2025/Լ-78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ԷԱՃԱՊՁԲ-2025/Լ-78»*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ԷԱՃԱՊՁԲ-2025/Լ-78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ԷԱՃԱՊՁԲ-2025/Լ-78»*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ԷԱՃԱՊՁԲ-2025/Լ-78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ԷԱՃԱՊՁԲ-2025/Լ-78»*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ԷԱՃԱՊՁԲ-2025/Լ-78*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ԷԱՃԱՊՁԲ-2025/Լ-78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ԷԱՃԱՊՁԲ-2025/Լ-78»*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ԷԱՃԱՊՁԲ-2025/Լ-78*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արտադրության բրենդային համակարգիչ
Պրոցեսորը 
• Պրոցեսորի արտադրման նվազագույն տարեթիվը 2023թ.
• Միջուկների քանակը նվազագույնը 14
• Թելերի ընդհանուր քանակը (Total Threads) նվազագույնը 20
• Քեշ նվազագույնը 24 ՄԲ
• Ընդհանուր L2 քեշ նվազագույնը 11․5 ՄԲ
• Տուրբո հաճախականությունը նվազագույնը 4․80 ԳՀց
• Արդյունավետ միջուկային մաքս․ տուրբո հաճախականություն նվազագույնը 3.50 ԳՀց
• Հիմնական հաճախականություն նվազագույնը 2.50 ԳՀց
• Կատարման-միջուկ բազային հաճախականություն նվազագույնը 1․8 0 ԳՀց
• Պրոցեսորի հիմնական հզորություն նվազագույնը (TDP) 65 Վտ
• Տուրբո հզորությունը նվազագույնը 154 Վտ
• Պրոցեսորը պետք է աջակցի հեռավար կառավարման, ընդլայնված անվտանգության և կայուն կատարողականության տեխնոլոգիաներ, ներառյալ ապարատային մակարդակի կառավարման գործիքներ և կոդավորման հնարավորություններ
Օպերատիվ հիշողություն
• Ծավալը նվազագույնը 8 ԳԲ, DDR5 առնվազն 4800 ՄՀց առնվազն 2 բնիկ SODIMM
• Նվազագույնը մինչև 64ԳԲ ընդլայնվելու հնարավորությամբ, առնվազն 5600 MT/s
Կուտակիչ 
• SSD կուտակիչ նվազագույնը 256 ԳԲ ծավալով (M.2 PCIe NVMe)
• Սլոտների քանակը երկուսից ոչ պակաս
Սկավառակի խցիկներ
• Առնվազն x2 3.5" HDD
Հիշողության քարտի սարք
• Առնվազն x1 SD 4.0 քարտ ընթերցող
Տեսաքարտ
• Ներկառուցված տեսաքարտ
Ընդլայնման սլոթեր
• Առնվազն x1 M.2 2230
• Առնվազն x1 M.2 2280 
• Առնվազն x1 PCIe x1
• Առնվազն x1 PCI 
• Առնվազն x1 PCIe 4 x16
Պորտեր և միակցիչներ
Առջևի պորտեր
• Առնվազն x1 ականջակալ/միկրոֆոն համակցված
• Առնվազն x1 բարձր արագությամբ USB Type-C 10 Գբ/վ
• Առնվազն x3 բարձր արագությամբ USB Type-A 10 Գբ/վ 
Հետևի պորտեր 
• Առնվազն x1 աուդիո ելք
• Առնվազն x1 սնուցման միակցիչ
• Առնվազն x1 RJ-45
• Առնվազն x1 HDMI 1.4
• Առնվազն x3 բարձր արագությամբ USB Type-A 5 Գբ/վ
• Առնվազն x1 DisplayPort 1.4
• Առնվազն x2 USB Type-A 480 Մբիթ/վ
Անլար ցանցային մոդուլի պահանջներ
Անլար կապի ստանդարտ
• Պետք է աջակցի եռաշերտ (առնվազն 2.4 ԳՀց, 5 ԳՀց, 6 ԳՀց) անլար կապի ստանդարտներին (առնվազն՝ IEEE 802.11ax կամ Wi-Fi 6E), որոնք ապահովում են բարձր արագություն (առնվազն 2.4 Գբ/վ 5 ԳՀց/6 ԳՀց-ում և 574 Մբ/վ 2.4 ԳՀց-ում՝ 160 ՄՀց ալիքի լայնությամբ) և ցածր ուշացում
Հեռավար կառավարման և անվտանգության հատկություններ
• Պետք է աջակցի ապարատային մակարդակի հեռավար կառավարման տեխնոլոգիաներին, ներառյալ համակարգի մոնիթորինգը և վերականգնումը անջատված վիճակում, ինչպես նաև ընդլայնված անվտանգության գործառույթներ (առնվազն՝ ապարատային կոդավորում, վստահելի գործարկման միջավայր և կառավարման գործիքներ)
Bluetooth
• Պետք է աջակցի Bluetooth առնվազն 5.3 կամ համարժեք ստանդարտ՝ ավելի ցածր ուշացմամբ, բարելավված հակամիջամտությամբ և էներգաարդյունավետությամբ
Ձևաչափ և միակցիչ
• Պետք է համապատասխանի առնվազն M.2 2230 ձևաչափին՝ Key E կամ համարժեք միակցիչով Ստեղնաշար մկնիկ
• USB ստեղնաշար
• USB մկնիկ
• Ստեղնաշարը և մկնիկը պետք  է արտադված լինեն նույն արտադրողի կողմից և ներառված լինեն տուփում
Սնուցում
• Առնվազն  260 Վտ ներքին հոսանքի ադապտեր, առնվազն 92% արդյունավետությամբ
Հոսանքի սնուցման մալուխ 
• C13 առնվազն 1.83մ
Քաշը
• ոչ ավել 5,4 կգ
Չափերը
• ոչ ավել 15,5 x 31 x 34 սմ;
• ոչ ավել 40 x 29 x 50 սմ (Փաթեթի)
Մոնիտոր
Առանձնահատկություններ և բնութագիր
• Էկրանի անկյունագիծ նվազագույնը 24 դույմ
• LCD վահանակի տեսակը IPS տեխնոլոգիա 
• Հետին լույսի տեսակը W-LED համակարգ
• Վահանակի չափը նվազագույնը 60,5 սմ / 23.8 դյույմ
• Էկրանի ծածկույթը հակափայլ / կարծրությունը առնվազն 3H /առնվազն մշուշը 25% / 
• Աշխատանքային տարածքը առնվազն 527.04 (H) x 296.46 (V) 
• Պատկերի ձևաչափը 16։9
• Առավելագույն թողունակություն նվազագույնը 1920 x 1080 առնվազն 75 Հց 
• Պիկսելների խտությունը առնվազն 93 PPI 
• Արձագանքման ժամանակը (տպ.) առնվազն 4 մս  
• Պայծառություն առնվազն 250 cd/m²  
• Դիտման անկյունը 178º (H) / 178º (V) @ C/R » 10 
• SmartContrast առնվազն՝ 200,000,000:1
• Կոնտրաստային հարաբերակցություն առնվազն՝ 1000:1
• Պիքսելների հեռավորությունը առնվազն 0,275 x 0,275 մմ
• Սկանավորման հաճախականություն առնվազն 30-83 կՀց (H)/56-76 Հց (V)                                                      
• էկրանի գույները առնվազն  16.7մ
• էկրանը պետք է ունենա LowBlue ռեժիմ
• Էկրանը պետք է ունենա առնվազն ներկառուցված մուտքեր VGA (անալոգային), HDMI (թվային HDCP), DisplayPort 1.2
• Մուտքային ազդանշանի համաժամացում / առանձնացված համաժամացում և   համաժամեցում կանաչի վրա
• Աուդիո (մուտք/ելք) PC աուդիո մուտք, Ականջակալներ ելք
• Ներկառուցված բարձրախոսներ առնվազն 2Վտ x2
• Միջինացված աշխատանքային ժամանակահատվածը առանց խնդիրների (առնաց լուսավորության) առնվազն 50000ժ
• Հոսանքի աղբյուր ներկառուցված 100-240 VAC
• Հաճախականությունը  առնվազն 50-60 Հց
• Ակտիվ ռեժիմում սպառում առնվազն 14․13 Վտ
• Էներգաարդյունավետության դաս՝ առնվազն E
• Փաթեթում ներառված պետք է լինի՝ մոնիտոր տակդիրով, հոսանքի միացման մալուխ, HDMI մալուխ
• Շրջակա միջավայրի պաշտպանություն Energy Star 8.0, EPEAT,TCO սերտիֆիկացում, RoHS առանց սնդիկի պարունակության
• Փաթեթավորումը պետք է ենթակա լինի վերամշակման՝ 100%-ով 
• Ստանդարտներին համապատասխանություն՝ cETLus,C.B.,TUV/ISO9241-307,SEMKO,CU-EAC,EEC RoHS,RCM,FCC դաս B, ICES-003, հավաստագրված TUV կապույտ լույսի արտանետումների նվազեցումով
ԵՐԱՇԽԻՔ և ՊԱՅՄԱՆՆԵՐ
• Երաշխիքային սպասարկում առնվազն մեկ տարի
• Երաշխիքային սպասարկման ապահովում արտադրողի ՀՀ ում պաշտոնական սպասարկման կենտրոնում (հրավերով նախատեսված՝ առաջարկվող ապրանքի տեխնիկական բնութագիրը ներկայացնելիս տրամադրվում է նաև ՀՀ ում պաշտոնական սպասարկման կենտրոնի տվյալները): Հայտերի ներկայացման փուլում արտադրողից կամ ՀՀ ում լիազորված դիստրիբյուտորից տեղեկանք այն մասին, որ ապրանքն արտաադրված է Հայաստանի Հանրապետությունն ընդգրկող տարածաշրջանում սպառման և սպասարկման համար։ (ՄԱՖ կամ ԴԱՖ): Մատակարարման փուլում պաշտոնական սպասարկման կենտրոնից նամակ տվյալ սերիական համարներով սարքերի անվճար երաշխիքային սպասարկման մասին:
• Պարտադիր պայման՝ Ապրանքը  պետք է լինի  նոր, չօգտագործված, գործարանային փաթեթավորմամբ։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