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2025.09.03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Կադաստրի կոմիտե</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Արշակունյաց 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услуг по дезинфекции и уничтожению паразитов для нужд комитета кадастра</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10:30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Էլինե Նազարյան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eline.nazaryan@cadastre.am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+374 60474142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Կադաստրի կոմիտե</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ԿԿ-ԷԱՃԾՁԲ-26/03</w:t>
      </w:r>
      <w:r w:rsidRPr="00496FAD">
        <w:rPr>
          <w:rFonts w:ascii="Calibri" w:hAnsi="Calibri" w:cs="Times Armenian"/>
          <w:i/>
          <w:lang w:val="ru-RU"/>
        </w:rPr>
        <w:br/>
      </w:r>
      <w:r w:rsidRPr="00496FAD">
        <w:rPr>
          <w:rFonts w:ascii="Calibri" w:hAnsi="Calibri" w:cstheme="minorHAnsi"/>
          <w:szCs w:val="20"/>
          <w:lang w:val="af-ZA"/>
        </w:rPr>
        <w:t>2025.09.03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Կադաստրի կոմիտե</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Կադաստրի կոմիտե</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услуг по дезинфекции и уничтожению паразитов для нужд комитета кадастра</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услуг по дезинфекции и уничтожению паразитов для нужд комитета кадастра</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Կադաստրի կոմիտե</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eline.nazaryan@cadastre.am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услуг по дезинфекции и уничтожению паразитов для нужд комитета кадастра</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382.68</w:t>
      </w:r>
      <w:r w:rsidRPr="005704A1">
        <w:rPr>
          <w:rFonts w:ascii="Calibri" w:hAnsi="Calibri"/>
          <w:szCs w:val="22"/>
        </w:rPr>
        <w:t xml:space="preserve"> драмом, российский рубль </w:t>
      </w:r>
      <w:r w:rsidRPr="005704A1">
        <w:rPr>
          <w:rFonts w:ascii="Calibri" w:hAnsi="Calibri"/>
          <w:lang w:val="hy-AM"/>
        </w:rPr>
        <w:t>4.7514</w:t>
      </w:r>
      <w:r w:rsidRPr="005704A1">
        <w:rPr>
          <w:rFonts w:ascii="Calibri" w:hAnsi="Calibri"/>
          <w:szCs w:val="22"/>
        </w:rPr>
        <w:t xml:space="preserve">драмом, евро </w:t>
      </w:r>
      <w:r w:rsidRPr="005704A1">
        <w:rPr>
          <w:rFonts w:ascii="Calibri" w:hAnsi="Calibri"/>
          <w:lang w:val="hy-AM"/>
        </w:rPr>
        <w:t>445.17</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2025.09.16. 10:30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bookmarkStart w:id="0" w:name="_GoBack"/>
      <w:bookmarkEnd w:id="0"/>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ԿԿ-ԷԱՃԾՁԲ-26/03</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0B07AF"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0B07AF"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0B07AF"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0B07AF"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0B07AF"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0B07AF"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0B07AF"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0B07AF"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0B07AF"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0B07AF"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"ԿԿ-ԷԱՃԾՁԲ-26/03"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Կադաստրի կոմիտե*(далее — Заказчик) процедуре закупок под кодом ԿԿ-ԷԱՃԾՁԲ-26/03*.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"ԿԿ-ԷԱՃԾՁԲ-26/03"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Կադաստրի կոմիտե*(далее — Заказчик) процедуре закупок под кодом ԿԿ-ԷԱՃԾՁԲ-26/03*.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ԿԿ-ԷԱՃԾՁԲ-26/03</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^paymanagir:0_ru^</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^paymanagir:1_ru^</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^paymanagir:14_ru^</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Указаны в технических характеристиках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финансовые средства предусмотрены, с момента учета соглашения, заключенного между сторонами (начиная с 21-го календарного дня) по 30 декабря 2026 года включительно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0B07AF"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0B07AF"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25F" w:rsidRDefault="0043225F" w:rsidP="00F858E6">
      <w:pPr>
        <w:spacing w:after="0" w:line="240" w:lineRule="auto"/>
      </w:pPr>
      <w:r>
        <w:separator/>
      </w:r>
    </w:p>
  </w:endnote>
  <w:endnote w:type="continuationSeparator" w:id="0">
    <w:p w:rsidR="0043225F" w:rsidRDefault="0043225F"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25F" w:rsidRDefault="0043225F" w:rsidP="00F858E6">
      <w:pPr>
        <w:spacing w:after="0" w:line="240" w:lineRule="auto"/>
      </w:pPr>
      <w:r>
        <w:separator/>
      </w:r>
    </w:p>
  </w:footnote>
  <w:footnote w:type="continuationSeparator" w:id="0">
    <w:p w:rsidR="0043225F" w:rsidRDefault="0043225F"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58</Pages>
  <Words>16147</Words>
  <Characters>92038</Characters>
  <Application>Microsoft Office Word</Application>
  <DocSecurity>0</DocSecurity>
  <Lines>766</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114</cp:revision>
  <dcterms:created xsi:type="dcterms:W3CDTF">2021-01-20T14:35:00Z</dcterms:created>
  <dcterms:modified xsi:type="dcterms:W3CDTF">2025-07-03T12:11:00Z</dcterms:modified>
</cp:coreProperties>
</file>