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ԻԲԿ-ԷԱՃԱՊՁԲ-25/24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Իջևանի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Իջևան, Նալբանդյան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Վառելիք-25-4</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Արփինե Բուղդարյան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033261014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ijevanmedikalcenter@mail.ru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Իջևանի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ԻԲԿ-ԷԱՃԱՊՁԲ-25/24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Իջևանի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Իջևանի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Վառելիք-25-4</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Իջևանի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Վառելիք-25-4</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ԻԲԿ-ԷԱՃԱՊՁԲ-25/24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ijevanmedikalcenter@mail.ru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Վառելիք-25-4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380.26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2025.09.16.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Իջևանի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ԻԲԿ-ԷԱՃԱՊՁԲ-25/24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ԻԲԿ-ԷԱՃԱՊՁԲ-25/24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«ԻԲԿ-ԷԱՃԱՊՁԲ-25/24»*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Իջևանի բժշկական կենտրոն ՓԲԸ*  (այսուհետ` Պատվիրատու) կողմից կազմակերպված` ԻԲԿ-ԷԱՃԱՊՁԲ-25/24*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Իջևանի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«ԻԲԿ-ԷԱՃԱՊՁԲ-25/24»*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Իջևանի բժշկական կենտրոն ՓԲԸ*  (այսուհետ` Պատվիրատու) կողմից կազմակերպված` ԻԲԿ-ԷԱՃԱՊՁԲ-25/24*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Իջևանի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«ԻՋԵՎԱՆԻ ԲԺՇԿԱԿԱՆ ԿԵՆՏՐՈՆ»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11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է, որն օգտագործելի է ամբողջ ՀՀ տարածքում: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ցուցիչը-46-ից ոչ պակաս, խտությունը 150 C ջերմաստիճանում 820-ից մինչև 845 կգ/մ3, ծծմբի պարունակությունը 350 մգ/կգ-ից ոչ ավելի, բռնկման ջերմաստիճանը 550 C-ից ոչ ցածր, ածխածնի մնացորդը 10% նստվածքում 0,3%-ից ոչ ավելի, մածուցիկությունը 400 C-ում` 2,0-ից մինչև 4,5 մմ2 /վ, պղտորման ջերմաստիճանը` 00 C-ից ոչ բարձր,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է, որն օգտագործելի է ամբողջ ՀՀ տարածքում: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