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98F3B" w14:textId="77777777" w:rsidR="00590790" w:rsidRPr="002C228C" w:rsidRDefault="00590790" w:rsidP="00590790">
      <w:pPr>
        <w:spacing w:after="200" w:line="276" w:lineRule="auto"/>
        <w:jc w:val="center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color w:val="000000" w:themeColor="text1"/>
          <w:sz w:val="20"/>
          <w:szCs w:val="20"/>
          <w:lang w:val="hy-AM"/>
        </w:rPr>
        <w:t>ՏԵԽՆԻԿԱԿԱՆ ԲՆՈՒԹԱԳԻՐ</w:t>
      </w: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  <w:t>*</w:t>
      </w:r>
    </w:p>
    <w:tbl>
      <w:tblPr>
        <w:tblW w:w="9427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13"/>
        <w:gridCol w:w="1374"/>
        <w:gridCol w:w="1572"/>
        <w:gridCol w:w="5268"/>
      </w:tblGrid>
      <w:tr w:rsidR="00590790" w:rsidRPr="002C228C" w14:paraId="67D7381B" w14:textId="77777777" w:rsidTr="00C50D7B">
        <w:trPr>
          <w:trHeight w:val="345"/>
        </w:trPr>
        <w:tc>
          <w:tcPr>
            <w:tcW w:w="9427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C98AAA4" w14:textId="77777777" w:rsidR="00590790" w:rsidRPr="002C228C" w:rsidRDefault="00590790" w:rsidP="00C50D7B">
            <w:pPr>
              <w:spacing w:after="0" w:line="276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590790" w:rsidRPr="002C228C" w14:paraId="3A75C036" w14:textId="77777777" w:rsidTr="00C50D7B">
        <w:trPr>
          <w:trHeight w:val="1587"/>
        </w:trPr>
        <w:tc>
          <w:tcPr>
            <w:tcW w:w="12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6905E8B" w14:textId="77777777" w:rsidR="00590790" w:rsidRPr="002C228C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B87C234" w14:textId="77777777" w:rsidR="00590790" w:rsidRPr="002C228C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57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321837" w14:textId="77777777" w:rsidR="00590790" w:rsidRPr="002C228C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6D7A8DC" w14:textId="77777777" w:rsidR="00590790" w:rsidRPr="002C228C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</w:tbl>
    <w:p w14:paraId="525BAB9C" w14:textId="77777777" w:rsidR="00590790" w:rsidRPr="002C228C" w:rsidRDefault="00590790" w:rsidP="00590790">
      <w:pPr>
        <w:spacing w:after="120" w:line="240" w:lineRule="auto"/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</w:pPr>
    </w:p>
    <w:tbl>
      <w:tblPr>
        <w:tblW w:w="9402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454"/>
        <w:gridCol w:w="1648"/>
        <w:gridCol w:w="5195"/>
      </w:tblGrid>
      <w:tr w:rsidR="00590790" w:rsidRPr="00867EF0" w14:paraId="76230B00" w14:textId="77777777" w:rsidTr="00C50D7B">
        <w:trPr>
          <w:trHeight w:val="421"/>
        </w:trPr>
        <w:tc>
          <w:tcPr>
            <w:tcW w:w="11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1D37144" w14:textId="77777777" w:rsidR="00590790" w:rsidRPr="00C477A0" w:rsidRDefault="00590790" w:rsidP="00C50D7B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7ACFF44" w14:textId="77777777" w:rsidR="00590790" w:rsidRPr="00917B53" w:rsidRDefault="00590790" w:rsidP="00C50D7B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30211220</w:t>
            </w:r>
          </w:p>
        </w:tc>
        <w:tc>
          <w:tcPr>
            <w:tcW w:w="16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2C9AB12" w14:textId="77777777" w:rsidR="00590790" w:rsidRPr="008D0043" w:rsidRDefault="00590790" w:rsidP="00C50D7B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Սեղանի</w:t>
            </w:r>
            <w:proofErr w:type="spellEnd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հ</w:t>
            </w:r>
            <w:proofErr w:type="spellStart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ամակարգիչ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ներ</w:t>
            </w:r>
            <w:proofErr w:type="spellEnd"/>
          </w:p>
        </w:tc>
        <w:tc>
          <w:tcPr>
            <w:tcW w:w="5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DB4A370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Համակարգիչ </w:t>
            </w:r>
            <w:proofErr w:type="spellStart"/>
            <w:r w:rsidRPr="00731D7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Intel</w:t>
            </w:r>
            <w:proofErr w:type="spellEnd"/>
            <w:r w:rsidRPr="00731D7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նվազագույնը </w:t>
            </w:r>
            <w:r w:rsidRPr="00731D7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</w:t>
            </w:r>
            <w:r w:rsidRPr="00387634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4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-րդ սերնդի,</w:t>
            </w:r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  <w:p w14:paraId="35EEC79F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Նվազագույնը 4 միջուկ, 8 հոսք, 4.7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GHz</w:t>
            </w:r>
            <w:proofErr w:type="spellEnd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տուրբո</w:t>
            </w:r>
            <w:proofErr w:type="spellEnd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հաճախականություն, </w:t>
            </w:r>
          </w:p>
          <w:p w14:paraId="246CE0A0" w14:textId="77777777" w:rsidR="00590790" w:rsidRPr="00346AB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նվազագույնը 12</w:t>
            </w: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Mb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cache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</w:t>
            </w:r>
          </w:p>
          <w:p w14:paraId="7FF226FF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TPM 2.0 (</w:t>
            </w:r>
            <w:proofErr w:type="spellStart"/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Trusted</w:t>
            </w:r>
            <w:proofErr w:type="spellEnd"/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Platform</w:t>
            </w:r>
            <w:proofErr w:type="spellEnd"/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Modue</w:t>
            </w:r>
            <w:proofErr w:type="spellEnd"/>
            <w:r w:rsidRPr="0027454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) 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առկայություն,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  <w:p w14:paraId="07CF12C8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Օպերատիվ հիշողությունը 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DDR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5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16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GB</w:t>
            </w:r>
            <w:r w:rsidRPr="00611175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4800</w:t>
            </w:r>
            <w:r w:rsidRPr="00611175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611175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MHz</w:t>
            </w:r>
            <w:proofErr w:type="spellEnd"/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</w:p>
          <w:p w14:paraId="2E1025CD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Կրիչի տեսակը 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SSD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 կրիչի ծավալը 512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GB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r w:rsidRPr="00387634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M2) </w:t>
            </w:r>
            <w:proofErr w:type="spellStart"/>
            <w:r w:rsidRPr="00387634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PCIe</w:t>
            </w:r>
            <w:proofErr w:type="spellEnd"/>
            <w:r w:rsidRPr="00387634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Gen4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  <w:p w14:paraId="3C86E438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Մոնիտորի</w:t>
            </w:r>
            <w:proofErr w:type="spellEnd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միացման տեսակը </w:t>
            </w:r>
            <w:r w:rsidRPr="00D01368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HDMI,</w:t>
            </w:r>
            <w:r w:rsidRPr="00922E01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տեսաքարտն</w:t>
            </w:r>
            <w:proofErr w:type="spellEnd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ինտեգրված</w:t>
            </w:r>
            <w:proofErr w:type="spellEnd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</w:t>
            </w:r>
          </w:p>
          <w:p w14:paraId="1DEDFB68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87634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Bluetooth</w:t>
            </w:r>
            <w:proofErr w:type="spellEnd"/>
            <w:r w:rsidRPr="00387634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5.3</w:t>
            </w:r>
          </w:p>
          <w:p w14:paraId="4DD28E10" w14:textId="77777777" w:rsidR="00590790" w:rsidRPr="00140BF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140BF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Առջևի</w:t>
            </w:r>
            <w:proofErr w:type="spellEnd"/>
            <w:r w:rsidRPr="00140BF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մասում՝</w:t>
            </w:r>
          </w:p>
          <w:p w14:paraId="21A0C804" w14:textId="77777777" w:rsidR="00590790" w:rsidRPr="00140BF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140BF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2 x USB 2.0 (480 </w:t>
            </w:r>
            <w:proofErr w:type="spellStart"/>
            <w:r w:rsidRPr="00140BF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Mbps</w:t>
            </w:r>
            <w:proofErr w:type="spellEnd"/>
            <w:r w:rsidRPr="00140BF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) պորտ</w:t>
            </w:r>
          </w:p>
          <w:p w14:paraId="302610E1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USB 3.2 Gen 1 (5 Gbps)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3F624FE5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USB 3.2 Gen 1 (5 Gbps) Type-C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399FDAF6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համընդհանուր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headset (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ջութակի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և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միկրոֆոնի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կոմբինացված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)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ծանոթում</w:t>
            </w:r>
            <w:proofErr w:type="spellEnd"/>
          </w:p>
          <w:p w14:paraId="449FCFE1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Ետևի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մասում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՝</w:t>
            </w:r>
          </w:p>
          <w:p w14:paraId="41F6D3A3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2 x USB 2.0 (480 Mbps)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Smart Power On-ի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աջակցությամբ</w:t>
            </w:r>
            <w:proofErr w:type="spellEnd"/>
          </w:p>
          <w:p w14:paraId="3521F972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2 x USB 3.2 Gen 1 (5 Gbps)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736B4D19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RJ-45 100/1000 Mbps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7679AB3E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DisplayPort 1.4a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(HBR2)</w:t>
            </w:r>
          </w:p>
          <w:p w14:paraId="34AB70C5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HDMI 2.1 (TDMS)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30120A29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PCIe x16 full-height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ընդլայնման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քարտի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վարդակից</w:t>
            </w:r>
            <w:proofErr w:type="spellEnd"/>
          </w:p>
          <w:p w14:paraId="3F1CA382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2 x PCIe x1 full-height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48B9792F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SATA 3.0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0E6ADA71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M.2 2230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WiFi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և Bluetooth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կոմբո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քարտի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համար</w:t>
            </w:r>
            <w:proofErr w:type="spellEnd"/>
          </w:p>
          <w:p w14:paraId="344AD6C7" w14:textId="77777777" w:rsidR="00590790" w:rsidRPr="00C570FF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M.2 2230/2280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կոշտ</w:t>
            </w:r>
            <w:proofErr w:type="spellEnd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սկավառակի (</w:t>
            </w:r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SSD) </w:t>
            </w:r>
            <w:proofErr w:type="spellStart"/>
            <w:r w:rsidRPr="00C570F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համար</w:t>
            </w:r>
            <w:proofErr w:type="spellEnd"/>
          </w:p>
          <w:p w14:paraId="361E4CD6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43767E97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Նվազագույնը 450</w:t>
            </w: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W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85%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Efficient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80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Plus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Bronze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ներքին սնուցման սարք</w:t>
            </w:r>
          </w:p>
          <w:p w14:paraId="33E34052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Չափսերը </w:t>
            </w: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305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mm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х 100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mm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х 295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mm</w:t>
            </w:r>
            <w:proofErr w:type="spellEnd"/>
          </w:p>
          <w:p w14:paraId="30275EFC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Քաշը առավելագույնը 4.75 կգ</w:t>
            </w:r>
          </w:p>
          <w:p w14:paraId="7173B12D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7E60FE0F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Մոնիտոր </w:t>
            </w: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SE2425HM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23,8"</w:t>
            </w: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կամ համարժեք</w:t>
            </w:r>
          </w:p>
          <w:p w14:paraId="69FF893F" w14:textId="77777777" w:rsidR="00590790" w:rsidRPr="00B02B7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IPS, 16:9, 1920 × 1080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при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100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Гц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LED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Edgelight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System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հակադարձող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պատվածք՝ կոշտություն 3Н,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արձագանքման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ժամանակը ոչ պակաս քան 5ms, հակադրություն 1000:1, դիտման անկյուններ 178°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հորիզոնտալ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178°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վերտիկալ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պիքսելների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խտությունը ոչ պակաս քան 93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ppi</w:t>
            </w:r>
            <w:proofErr w:type="spellEnd"/>
          </w:p>
          <w:p w14:paraId="0B412336" w14:textId="77777777" w:rsidR="00590790" w:rsidRPr="00B02B7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Գույնի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գամմա</w:t>
            </w:r>
            <w:proofErr w:type="spellEnd"/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72 % (CIE1931)</w:t>
            </w:r>
          </w:p>
          <w:p w14:paraId="5CF0829E" w14:textId="77777777" w:rsidR="00590790" w:rsidRPr="00B02B7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</w:p>
          <w:p w14:paraId="11CFC37D" w14:textId="77777777" w:rsidR="00590790" w:rsidRPr="00B02B7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3-sided Bezel Less</w:t>
            </w:r>
          </w:p>
          <w:p w14:paraId="6A8B4EF3" w14:textId="77777777" w:rsidR="00590790" w:rsidRPr="00B02B7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Eye Comfort Technology</w:t>
            </w:r>
          </w:p>
          <w:p w14:paraId="7D60B77C" w14:textId="77777777" w:rsidR="00590790" w:rsidRPr="00B02B7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Cable Lock Slot</w:t>
            </w:r>
          </w:p>
          <w:p w14:paraId="026C0FE1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B02B7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Security Lock</w:t>
            </w:r>
          </w:p>
          <w:p w14:paraId="06A9D9B9" w14:textId="77777777" w:rsidR="00590790" w:rsidRPr="00013533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HDMI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(HDCP 1.4) (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աջակցում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է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մինչև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FHD 1920 x 1080, 100 Hz՝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ըստ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HDMI 1.4-ի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պահանջների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)</w:t>
            </w:r>
          </w:p>
          <w:p w14:paraId="3D123D6A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1 x VGA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պորտ</w:t>
            </w:r>
            <w:proofErr w:type="spellEnd"/>
          </w:p>
          <w:p w14:paraId="7FCAE69C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</w:p>
          <w:p w14:paraId="25FDDACC" w14:textId="77777777" w:rsidR="00590790" w:rsidRPr="00013533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Շ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րջանառության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անկյուն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՝ -5°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մինչև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+21°, VESA 100 x 100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մմ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,</w:t>
            </w:r>
          </w:p>
          <w:p w14:paraId="16BF7BC9" w14:textId="77777777" w:rsidR="00590790" w:rsidRPr="00013533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Ստանդարտներ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՝</w:t>
            </w:r>
          </w:p>
          <w:p w14:paraId="4AFC7FEC" w14:textId="77777777" w:rsidR="00590790" w:rsidRPr="00013533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lastRenderedPageBreak/>
              <w:t xml:space="preserve">TÜV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Rheinland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Eye Comfort 3.0 –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մոնիտորը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պետք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է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համապատասխանի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ստանդարտին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կանխադրված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/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զրոյական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կարգավորումների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ժամանակ</w:t>
            </w:r>
            <w:proofErr w:type="spellEnd"/>
          </w:p>
          <w:p w14:paraId="53C45986" w14:textId="77777777" w:rsidR="00590790" w:rsidRPr="00013533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ENERGY STAR 8.0</w:t>
            </w:r>
          </w:p>
          <w:p w14:paraId="2EAB4CE3" w14:textId="77777777" w:rsidR="00590790" w:rsidRPr="00013533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BFR/PVC (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Հոսանքի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տախտակները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պատրաստված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են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BFR/PVC-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ազատ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լամինատներից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)</w:t>
            </w:r>
          </w:p>
          <w:p w14:paraId="7CB166D2" w14:textId="77777777" w:rsidR="00590790" w:rsidRPr="00013533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Արսենիկ-ազատ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ապակին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և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երիցուկ-ազատ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միայն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պանելում</w:t>
            </w:r>
            <w:proofErr w:type="spellEnd"/>
          </w:p>
          <w:p w14:paraId="3CC275A2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Համապատասխանում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է NFPA 99-ի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հոսանքի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արտահոսքի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պահանջին</w:t>
            </w:r>
            <w:proofErr w:type="spellEnd"/>
            <w:r w:rsidRPr="00013533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  <w:t>։</w:t>
            </w:r>
          </w:p>
          <w:p w14:paraId="0B279EB2" w14:textId="77777777" w:rsidR="00590790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</w:rPr>
            </w:pPr>
          </w:p>
          <w:p w14:paraId="09FFDA26" w14:textId="77777777" w:rsidR="00590790" w:rsidRPr="00346AB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Ստեղնաշար, Մկնիկ,</w:t>
            </w:r>
          </w:p>
          <w:p w14:paraId="3760A239" w14:textId="77777777" w:rsidR="00590790" w:rsidRPr="00B02B7C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113C23F3" w14:textId="77777777" w:rsidR="00590790" w:rsidRPr="00215A44" w:rsidRDefault="00590790" w:rsidP="00C50D7B">
            <w:pPr>
              <w:spacing w:after="0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Ս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արքի վիճակը՝ Նոր 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(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երբեք չօգտագործված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),</w:t>
            </w:r>
            <w:r w:rsidRPr="00773BD1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կ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ոմպլեկտավորումը</w:t>
            </w:r>
            <w:proofErr w:type="spellEnd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մասեր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ով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մալուխներ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ով</w:t>
            </w:r>
            <w:proofErr w:type="spellEnd"/>
            <w:r w:rsidRPr="00ED4F1E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միմիանց</w:t>
            </w:r>
            <w:proofErr w:type="spellEnd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միջև</w:t>
            </w:r>
            <w:proofErr w:type="spellEnd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համադրելի:</w:t>
            </w:r>
          </w:p>
          <w:p w14:paraId="4B3BE071" w14:textId="77777777" w:rsidR="00590790" w:rsidRPr="004B294E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Երաշխիք՝ ոչ պակաս քան 36 ամիս</w:t>
            </w:r>
          </w:p>
          <w:p w14:paraId="531E2D9C" w14:textId="77777777" w:rsidR="00590790" w:rsidRPr="004B294E" w:rsidRDefault="00590790" w:rsidP="00C50D7B">
            <w:pPr>
              <w:spacing w:after="0"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Առնվազն 2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վենդորի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կողմից լիազորված սերվիս կենտրոնի առկայություն</w:t>
            </w:r>
          </w:p>
          <w:p w14:paraId="47C89C5A" w14:textId="77777777" w:rsidR="00590790" w:rsidRPr="004B294E" w:rsidRDefault="00590790" w:rsidP="00C50D7B">
            <w:pP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Վենդորի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կողմից տրամադրված MAF-ի պարտադիր առկայություն</w:t>
            </w:r>
          </w:p>
        </w:tc>
      </w:tr>
    </w:tbl>
    <w:p w14:paraId="3969E4D4" w14:textId="77777777" w:rsidR="00590790" w:rsidRPr="00CE11A5" w:rsidRDefault="00590790" w:rsidP="00590790">
      <w:pPr>
        <w:spacing w:after="200" w:line="276" w:lineRule="auto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CE11A5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lastRenderedPageBreak/>
        <w:t xml:space="preserve">«Գնումների մասին» ՀՀ օրենքի 13-րդ հոդվածի 5-րդ մասով նախատեսված ցանկացած </w:t>
      </w:r>
      <w:proofErr w:type="spellStart"/>
      <w:r w:rsidRPr="00CE11A5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հղման</w:t>
      </w:r>
      <w:proofErr w:type="spellEnd"/>
      <w:r w:rsidRPr="00CE11A5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դեպքում կիրառելի է «կամ համարժեքը» արտահայտությունը:</w:t>
      </w:r>
    </w:p>
    <w:p w14:paraId="2E7C6D29" w14:textId="77777777" w:rsidR="00590790" w:rsidRPr="002C228C" w:rsidRDefault="00590790" w:rsidP="00590790">
      <w:pPr>
        <w:spacing w:after="120" w:line="240" w:lineRule="auto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           </w:t>
      </w:r>
    </w:p>
    <w:p w14:paraId="7674970E" w14:textId="77777777" w:rsidR="00590790" w:rsidRPr="002C228C" w:rsidRDefault="00590790" w:rsidP="00590790">
      <w:pPr>
        <w:spacing w:after="0" w:line="240" w:lineRule="auto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2"/>
          <w:szCs w:val="22"/>
          <w:lang w:val="ru-RU"/>
        </w:rPr>
        <w:t xml:space="preserve">На русском </w:t>
      </w: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ru-RU"/>
        </w:rPr>
        <w:t>*</w:t>
      </w:r>
    </w:p>
    <w:p w14:paraId="71D3FA21" w14:textId="77777777" w:rsidR="00590790" w:rsidRPr="002C228C" w:rsidRDefault="00590790" w:rsidP="00590790">
      <w:pPr>
        <w:spacing w:after="120" w:line="240" w:lineRule="auto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</w:p>
    <w:tbl>
      <w:tblPr>
        <w:tblStyle w:val="TableGrid"/>
        <w:tblW w:w="93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1530"/>
        <w:gridCol w:w="990"/>
        <w:gridCol w:w="5677"/>
      </w:tblGrid>
      <w:tr w:rsidR="00590790" w:rsidRPr="00867EF0" w14:paraId="5365EDA9" w14:textId="77777777" w:rsidTr="00C50D7B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6C2FC28A" w14:textId="77777777" w:rsidR="00590790" w:rsidRPr="00C477A0" w:rsidRDefault="00590790" w:rsidP="00C50D7B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7F472064" w14:textId="77777777" w:rsidR="00590790" w:rsidRPr="002C228C" w:rsidRDefault="00590790" w:rsidP="00C50D7B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30211220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66B28AB2" w14:textId="77777777" w:rsidR="00590790" w:rsidRDefault="00590790" w:rsidP="00C50D7B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  <w:t>Компьютер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</w:tcPr>
          <w:p w14:paraId="6A7FBDEE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Компьютер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базе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Intel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ниже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14-го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поколения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</w:t>
            </w:r>
          </w:p>
          <w:p w14:paraId="41A6498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Минимум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ядра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8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потоков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Turbo-частота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4.7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GHz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</w:t>
            </w:r>
          </w:p>
          <w:p w14:paraId="236063E4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Кэш-память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минимум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12Mb,</w:t>
            </w:r>
          </w:p>
          <w:p w14:paraId="43E4E81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Наличие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TPM 2.0 (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Trusted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Platform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Module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),</w:t>
            </w:r>
          </w:p>
          <w:p w14:paraId="3FA9628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Оперативная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память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DDR5 16GB 4800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MHz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</w:t>
            </w:r>
          </w:p>
          <w:p w14:paraId="60366FA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Тип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накопителя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SSD,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объем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накопителя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512GB (M2)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PCIe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Gen4,</w:t>
            </w:r>
          </w:p>
          <w:p w14:paraId="2366F905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Тип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подключения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монитора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HDMI,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видеокарта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интегрированная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</w:t>
            </w:r>
          </w:p>
          <w:p w14:paraId="406BFEFF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Bluetooth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5.3</w:t>
            </w:r>
          </w:p>
          <w:p w14:paraId="0A224FB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6159A3A1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передней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панели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:</w:t>
            </w:r>
          </w:p>
          <w:p w14:paraId="46E74A81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2 x USB 2.0 (480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Mbps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)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порта</w:t>
            </w:r>
            <w:proofErr w:type="spellEnd"/>
          </w:p>
          <w:p w14:paraId="322209B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USB 3.2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(5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Gbps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)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</w:p>
          <w:p w14:paraId="5EDC4717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USB 3.2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(5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Gbps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)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Type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-C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</w:p>
          <w:p w14:paraId="43A0165F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универсальный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разъём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headset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комбинированный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наушников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и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микрофона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6F870C42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задней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панели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:</w:t>
            </w:r>
          </w:p>
          <w:p w14:paraId="2AEE2056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2 x USB 2.0 (480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Mbps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)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с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поддержкой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Smart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Power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On</w:t>
            </w:r>
            <w:proofErr w:type="spellEnd"/>
          </w:p>
          <w:p w14:paraId="0C5B4D80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2 x USB 3.2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(5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Gbps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)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порта</w:t>
            </w:r>
            <w:proofErr w:type="spellEnd"/>
          </w:p>
          <w:p w14:paraId="25B8DB34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RJ-45 100/1000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Mbps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</w:p>
          <w:p w14:paraId="3FBE1A1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DisplayPort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1.4a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(HBR2)</w:t>
            </w:r>
          </w:p>
          <w:p w14:paraId="7AFC4AD5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HDMI 2.1 (TDMS)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</w:p>
          <w:p w14:paraId="3BCFC318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PCIe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x16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full-height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слот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карты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расширения</w:t>
            </w:r>
            <w:proofErr w:type="spellEnd"/>
          </w:p>
          <w:p w14:paraId="2C7C30F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2 x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PCIe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x1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full-height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порта</w:t>
            </w:r>
            <w:proofErr w:type="spellEnd"/>
          </w:p>
          <w:p w14:paraId="336FEF0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SATA 3.0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</w:p>
          <w:p w14:paraId="68323503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M.2 2230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WiFi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и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Bluetooth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combo-карты</w:t>
            </w:r>
            <w:proofErr w:type="spellEnd"/>
          </w:p>
          <w:p w14:paraId="6928A0E2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M.2 2230/2280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твердотельного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накопителя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(SSD)</w:t>
            </w:r>
          </w:p>
          <w:p w14:paraId="56B0F46A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5D9D5914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Минимум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450W 85%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Efficient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80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Plus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Bronze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внутренний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блок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питания</w:t>
            </w:r>
            <w:proofErr w:type="spellEnd"/>
          </w:p>
          <w:p w14:paraId="786F348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Размеры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305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mm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х 100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mm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х 295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mm</w:t>
            </w:r>
            <w:proofErr w:type="spellEnd"/>
          </w:p>
          <w:p w14:paraId="5D3FC85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Вес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более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4.75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кг</w:t>
            </w:r>
            <w:proofErr w:type="spellEnd"/>
          </w:p>
          <w:p w14:paraId="72F641A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6C422B90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Монитор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SE2425HM 23.8"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или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эквивалент</w:t>
            </w:r>
            <w:proofErr w:type="spellEnd"/>
          </w:p>
          <w:p w14:paraId="418E29A0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IPS, 16:9, 1920 × 1080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при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100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Гц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LED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Edgelight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System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антибликовое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покрытие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с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твёрдостью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3Н,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время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отклика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менее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5ms,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контрастность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1000:1,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углы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обзора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178°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горизонтали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и 178°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вертикали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плотность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пикселей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менее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93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ppi</w:t>
            </w:r>
            <w:proofErr w:type="spellEnd"/>
          </w:p>
          <w:p w14:paraId="05DFB1C6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Цветовой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охват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72 % (CIE1931)</w:t>
            </w:r>
          </w:p>
          <w:p w14:paraId="71B3B9D1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16EC6C4E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3-sided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Bezel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Less</w:t>
            </w:r>
            <w:proofErr w:type="spellEnd"/>
          </w:p>
          <w:p w14:paraId="0703BD0A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Eye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Comfort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Technology</w:t>
            </w:r>
            <w:proofErr w:type="spellEnd"/>
          </w:p>
          <w:p w14:paraId="3577CDCC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Cable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Lock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Slot</w:t>
            </w:r>
            <w:proofErr w:type="spellEnd"/>
          </w:p>
          <w:p w14:paraId="501EE88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Security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Lock</w:t>
            </w:r>
            <w:proofErr w:type="spellEnd"/>
          </w:p>
          <w:p w14:paraId="4CCC09BE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HDMI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(HDCP 1.4) (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поддержка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FHD 1920 x 1080, 100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Hz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согласно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спецификации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HDMI 1.4)</w:t>
            </w:r>
          </w:p>
          <w:p w14:paraId="4A9E916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VGA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</w:p>
          <w:p w14:paraId="403D9614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Угол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наклона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от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-5°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+21°, VESA 100 x 100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мм</w:t>
            </w:r>
            <w:proofErr w:type="spellEnd"/>
          </w:p>
          <w:p w14:paraId="15B35FCD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Стандарты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:</w:t>
            </w:r>
          </w:p>
          <w:p w14:paraId="1D6EE97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TÜV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Rheinland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Eye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Comfort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3.0 —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монитор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должен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соответствовать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стандарту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при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заводских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настройках</w:t>
            </w:r>
            <w:proofErr w:type="spellEnd"/>
          </w:p>
          <w:p w14:paraId="42FFDB64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ENERGY STAR 8.0</w:t>
            </w:r>
          </w:p>
          <w:p w14:paraId="6C905EA5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BFR/PVC (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печатные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платы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выполнены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из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ламината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содержащего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BFR/PVC)</w:t>
            </w:r>
          </w:p>
          <w:p w14:paraId="798BDF8B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Стекло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без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мышьяка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и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без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ртути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только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для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панели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060BBE3A" w14:textId="77777777" w:rsidR="00590790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Соответствие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требованиям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NFPA 99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утечке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тока</w:t>
            </w:r>
            <w:proofErr w:type="spellEnd"/>
          </w:p>
          <w:p w14:paraId="0B8D6BC0" w14:textId="77777777" w:rsidR="00590790" w:rsidRPr="00346ABC" w:rsidRDefault="00590790" w:rsidP="00C50D7B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4B6B4C76" w14:textId="77777777" w:rsidR="00590790" w:rsidRPr="00137C28" w:rsidRDefault="00590790" w:rsidP="00C50D7B">
            <w:pPr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Клавиатура</w:t>
            </w:r>
            <w:proofErr w:type="spellEnd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346ABC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мышь</w:t>
            </w:r>
            <w:proofErr w:type="spellEnd"/>
          </w:p>
          <w:p w14:paraId="6E612F0B" w14:textId="77777777" w:rsidR="00590790" w:rsidRPr="00137C28" w:rsidRDefault="00590790" w:rsidP="00C50D7B">
            <w:pPr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</w:p>
          <w:p w14:paraId="2156B395" w14:textId="77777777" w:rsidR="00590790" w:rsidRDefault="00590790" w:rsidP="00C50D7B">
            <w:pPr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EC0833"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  <w:t>Состояние устройства: Новое (никогда не использовалось), комплектация — все компоненты и кабели, совместимые друг с другом.</w:t>
            </w:r>
          </w:p>
          <w:p w14:paraId="163414E7" w14:textId="77777777" w:rsidR="00590790" w:rsidRPr="00EC0833" w:rsidRDefault="00590790" w:rsidP="00C50D7B">
            <w:pPr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</w:pP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Гарантия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на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ремонт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—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не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менее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36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месяцев</w:t>
            </w:r>
            <w:proofErr w:type="spellEnd"/>
          </w:p>
          <w:p w14:paraId="6712971D" w14:textId="77777777" w:rsidR="00590790" w:rsidRPr="00EC0833" w:rsidRDefault="00590790" w:rsidP="00C50D7B">
            <w:pPr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</w:pP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Наличие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как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минимум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2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авторизованных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сервисных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центров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от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вендора</w:t>
            </w:r>
            <w:proofErr w:type="spellEnd"/>
          </w:p>
          <w:p w14:paraId="4F3C3263" w14:textId="77777777" w:rsidR="00590790" w:rsidRPr="00140BFC" w:rsidRDefault="00590790" w:rsidP="00C50D7B">
            <w:pP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Обязательное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наличие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MAF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от</w:t>
            </w:r>
            <w:proofErr w:type="spellEnd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EC0833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вендора</w:t>
            </w:r>
            <w:proofErr w:type="spellEnd"/>
          </w:p>
        </w:tc>
      </w:tr>
    </w:tbl>
    <w:p w14:paraId="085B433D" w14:textId="77777777" w:rsidR="00590790" w:rsidRPr="002C228C" w:rsidRDefault="00590790" w:rsidP="00590790">
      <w:pPr>
        <w:widowControl w:val="0"/>
        <w:tabs>
          <w:tab w:val="left" w:pos="449"/>
        </w:tabs>
        <w:spacing w:after="0" w:line="276" w:lineRule="auto"/>
        <w:ind w:left="709" w:right="20" w:hanging="142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lastRenderedPageBreak/>
        <w:t xml:space="preserve">В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случае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любой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ссылки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,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предусмотренной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частью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5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статьи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13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Закона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РА "О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закупках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",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применимо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выражение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"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или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эквивалент</w:t>
      </w: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ru-RU"/>
        </w:rPr>
        <w:t>ный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" </w:t>
      </w:r>
    </w:p>
    <w:p w14:paraId="387B559E" w14:textId="77777777" w:rsidR="00202155" w:rsidRPr="00590790" w:rsidRDefault="00202155">
      <w:pPr>
        <w:rPr>
          <w:lang w:val="pt-BR"/>
        </w:rPr>
      </w:pPr>
    </w:p>
    <w:sectPr w:rsidR="00202155" w:rsidRPr="00590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8B"/>
    <w:rsid w:val="001231FF"/>
    <w:rsid w:val="00202155"/>
    <w:rsid w:val="00590790"/>
    <w:rsid w:val="008F328B"/>
    <w:rsid w:val="00B97EC6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2FC69-6347-4D91-99A5-DD1BE4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790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28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28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28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28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28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28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28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28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28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2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2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2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28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28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2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2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2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2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2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32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28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32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28B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32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28B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328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2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28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28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590790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4263</Characters>
  <Application>Microsoft Office Word</Application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2025-09-03T13:41:00Z</dcterms:created>
  <dcterms:modified xsi:type="dcterms:W3CDTF">2025-09-03T13:42:00Z</dcterms:modified>
</cp:coreProperties>
</file>