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ՀԳՏՏԶՀ-ԷԱՃԱՊՁԲ-04/25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ՀԱՅԱՍՏԱՆՈՒՄ ԳՅՈՒՂԱԿԱՆ ՏԱՐԱԾՔՆԵՐԻ ՏՆՏԵՍԱԿԱՆ ԶԱՐԳԱՑՄԱՆ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Փարպեցի 22 բն3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Фонда «Экономическое развитие сельских районов в Армении» по коду процедуры ХГТТЗХ-ЭАЧАПЦБ-04/25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Տիգրանյան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kentron@petgnumner.am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041909609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ՀԱՅԱՍՏԱՆՈՒՄ ԳՅՈՒՂԱԿԱՆ ՏԱՐԱԾՔՆԵՐԻ ՏՆՏԵՍԱԿԱՆ ԶԱՐԳԱՑՄԱՆ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ՀԳՏՏԶՀ-ԷԱՃԱՊՁԲ-04/25</w:t>
      </w:r>
      <w:r>
        <w:rPr>
          <w:rFonts w:ascii="Calibri" w:hAnsi="Calibri" w:cstheme="minorHAnsi"/>
          <w:i/>
        </w:rPr>
        <w:br/>
      </w:r>
      <w:r>
        <w:rPr>
          <w:rFonts w:ascii="Calibri" w:hAnsi="Calibri" w:cstheme="minorHAnsi"/>
          <w:szCs w:val="20"/>
          <w:lang w:val="af-ZA"/>
        </w:rPr>
        <w:t>2025.09.04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ՀԱՅԱՍՏԱՆՈՒՄ ԳՅՈՒՂԱԿԱՆ ՏԱՐԱԾՔՆԵՐԻ ՏՆՏԵՍԱԿԱՆ ԶԱՐԳԱՑՄԱՆ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ՀԱՅԱՍՏԱՆՈՒՄ ԳՅՈՒՂԱԿԱՆ ՏԱՐԱԾՔՆԵՐԻ ՏՆՏԵՍԱԿԱՆ ԶԱՐԳԱՑՄԱՆ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Фонда «Экономическое развитие сельских районов в Армении» по коду процедуры ХГТТЗХ-ЭАЧАПЦБ-04/25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Фонда «Экономическое развитие сельских районов в Армении» по коду процедуры ХГТТЗХ-ЭАЧАПЦБ-04/25</w:t>
      </w:r>
      <w:r>
        <w:rPr>
          <w:rFonts w:ascii="Calibri" w:hAnsi="Calibri" w:cstheme="minorHAnsi"/>
          <w:b/>
          <w:lang w:val="ru-RU"/>
        </w:rPr>
        <w:t xml:space="preserve">ДЛЯ НУЖД  </w:t>
      </w:r>
      <w:r>
        <w:rPr>
          <w:rFonts w:ascii="Calibri" w:hAnsi="Calibri" w:cstheme="minorHAnsi"/>
          <w:b/>
          <w:sz w:val="24"/>
          <w:szCs w:val="24"/>
          <w:lang w:val="af-ZA"/>
        </w:rPr>
        <w:t>ՀԱՅԱՍՏԱՆՈՒՄ ԳՅՈՒՂԱԿԱՆ ՏԱՐԱԾՔՆԵՐԻ ՏՆՏԵՍԱԿԱՆ ԶԱՐԳԱՑՄԱՆ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ՀԳՏՏԶՀ-ԷԱՃԱՊՁԲ-04/25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kentron@petgnumner.am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Фонда «Экономическое развитие сельских районов в Армении» по коду процедуры ХГТТЗХ-ЭАЧАПЦБ-04/25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ՀԳՏՏԶՀ-ԷԱՃԱՊՁԲ-04/25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ՀԱՅԱՍՏԱՆՈՒՄ ԳՅՈՒՂԱԿԱՆ ՏԱՐԱԾՔՆԵՐԻ ՏՆՏԵՍԱԿԱՆ ԶԱՐԳԱՑՄԱՆ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"ՀԳՏՏԶՀ-ԷԱՃԱՊՁԲ-04/25"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ՀԱՅԱՍՏԱՆՈՒՄ ԳՅՈՒՂԱԿԱՆ ՏԱՐԱԾՔՆԵՐԻ ՏՆՏԵՍԱԿԱՆ ԶԱՐԳԱՑՄԱՆ ՀԻՄՆԱԴՐԱՄ*(далее — Заказчик) процедуре закупок под кодом ՀԳՏՏԶՀ-ԷԱՃԱՊՁԲ-04/25*.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ՀԱՅԱՍՏԱՆՈՒՄ ԳՅՈՒՂԱԿԱՆ ՏԱՐԱԾՔՆԵՐԻ ՏՆՏԵՍԱԿԱՆ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- 00099439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- 163007089275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"ՀԳՏՏԶՀ-ԷԱՃԱՊՁԲ-04/25"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ՀԱՅԱՍՏԱՆՈՒՄ ԳՅՈՒՂԱԿԱՆ ՏԱՐԱԾՔՆԵՐԻ ՏՆՏԵՍԱԿԱՆ ԶԱՐԳԱՑՄԱՆ ՀԻՄՆԱԴՐԱՄ*(далее — Заказчик) процедуре закупок под кодом ՀԳՏՏԶՀ-ԷԱՃԱՊՁԲ-04/25*.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ՀԱՅԱՍՏԱՆՈՒՄ ԳՅՈՒՂԱԿԱՆ ՏԱՐԱԾՔՆԵՐԻ ՏՆՏԵՍԱԿԱՆ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- 00099439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- 163007089275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ՀԳՏՏԶՀ-ԷԱՃԱՊՁԲ-04/25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по исследовательскому методу — не менее 91, по моторному методу — не менее 81.
Давление насыщенных паров бензина — от 45 до 100 кПа.
Содержание свинца — не более 5 мг/дм³.
Объемная доля бензола — не более 1 %.
Плотность при температуре 15 °C — от 720 до 775 кг/м³.
Содержание серы — не более 10 мг/кг.
Массовая доля кислорода — не более 2,7 %.
Объемная доля оксигенатов, не более: метанол — 3 %, этанол — 5 %, изопропиловый спирт — 10 %, изобутиловый спирт — 10 %, трет-бутиловый спирт — 7 %, эфиры (С5 и выше) — 15 %, другие оксигенаты — 10 %.
Безопасность, маркировка и упаковка — в соответствии с «Техническим регламентом о моторных топливах внутреннего сгорания», утвержденным постановлением Правительства Республики Армения от 11 ноября 2004 г. № 1592-Н.
Поставка осуществляется по талонам.
Продавец обязан иметь автозаправочные станции во всех административных районах города Еревана, а также во всех марзах — на основных дорогах республиканского или регионального значения.
Поставка осуществляется по заявкам.
Талоны должны иметь срок годности не менее 365 дней.
Доставка талонов к месту нахождения Покупателя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г. Ереван, ул. Сарьяна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 по заявкам, в течение 2 рабочих дней с даты предоставления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