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Պրեմիում և ռեգուլյար տեսակի բենզին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Պրեմիում և ռեգուլյար տեսակի բենզին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Պրեմիում և ռեգուլյար տեսակի բենզին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Պրեմիում և ռեգուլյար տեսակի բենզին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ՀՀՎԱ-ԷԱՃԱՊՁԲ-25/50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ՀՀՎԱ-ԷԱՃԱՊՁԲ-25/50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գործող օրենսդրության:Մատակարարումը՝ կտրոնային:
•	Ապրանքի որակի սերտիֆիկատի առկայությունը պարտադիր է.
•	Կտրոններն ուժի մեջ պետք է լինեն մատակարարման օրվան հաջորդող առնվազն 14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գործող օրենսդրության: Պայմանական նշանները` վախենում է կրակից: Տեղափոխման անվտանգությունը` հրավտանգ: Մատակարարումը` կտրոնային:
•	Ապրանքի որակի սերտիֆիկատի առկայությունը պարտադիր է.
•	Կտրոններն ուժի մեջ պետք է լինեն մատակարարման օրվան հաջորդող առնվազն 18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հրապարակ,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հրապարակ,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