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0F92" w14:textId="77777777" w:rsidR="00F0476E" w:rsidRPr="00FF78AD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FF78AD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ПОЛНОЕ ОПИСАНИЕ</w:t>
      </w:r>
    </w:p>
    <w:p w14:paraId="1C233B25" w14:textId="77777777" w:rsidR="00F0476E" w:rsidRPr="00FF78AD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FF78AD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предлагаемого товара</w:t>
      </w:r>
    </w:p>
    <w:p w14:paraId="0EA0AB86" w14:textId="77777777" w:rsidR="00F0476E" w:rsidRPr="00FF78AD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 w:cs="Arial"/>
          <w:color w:val="000000" w:themeColor="text1"/>
          <w:sz w:val="24"/>
          <w:szCs w:val="24"/>
          <w:lang w:val="ru-RU"/>
        </w:rPr>
      </w:pPr>
    </w:p>
    <w:p w14:paraId="44E0E62E" w14:textId="1C80EE9E" w:rsidR="00F0476E" w:rsidRPr="00FF78AD" w:rsidRDefault="00F0476E" w:rsidP="00F0476E">
      <w:pPr>
        <w:widowControl w:val="0"/>
        <w:ind w:left="-540" w:right="-532" w:firstLine="720"/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FF78AD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____ </w:t>
      </w:r>
      <w:r w:rsidRPr="00FF78AD">
        <w:rPr>
          <w:rFonts w:ascii="GHEA Grapalat" w:hAnsi="GHEA Grapalat"/>
          <w:color w:val="000000" w:themeColor="text1"/>
          <w:sz w:val="24"/>
          <w:szCs w:val="24"/>
          <w:vertAlign w:val="superscript"/>
          <w:lang w:val="ru-RU"/>
        </w:rPr>
        <w:t>наименование участника</w:t>
      </w:r>
      <w:r w:rsidRPr="00FF78AD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 _______, в качестве участника в рамках процедуре закупки под кодом </w:t>
      </w:r>
      <w:r w:rsidR="00AF1B5D" w:rsidRPr="00FF78AD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ԿԾԿԾԻԳ-ԷԱՃԱՊՁԲ-25/24 </w:t>
      </w:r>
      <w:r w:rsidRPr="00FF78AD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ниже по лотам представляет полное описание предлагаемого им товара.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FF78AD" w:rsidRPr="00FF78AD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FF78AD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F78A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68820761" w:rsidR="00394722" w:rsidRPr="00FF78AD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F78A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6553E12B" w:rsidR="00394722" w:rsidRPr="00FF78AD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F78A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FF78A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78A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FF78A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FF78A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стандарты</w:t>
            </w:r>
            <w:proofErr w:type="spellEnd"/>
          </w:p>
        </w:tc>
      </w:tr>
      <w:tr w:rsidR="00FF78AD" w:rsidRPr="00FF78AD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FF78AD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FF78AD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4B9E0B2E" w:rsidR="00394722" w:rsidRPr="00FF78AD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Определяется</w:t>
            </w:r>
            <w:proofErr w:type="spellEnd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приглашением</w:t>
            </w:r>
            <w:proofErr w:type="spellEnd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процедуру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40B10623" w:rsidR="00394722" w:rsidRPr="00FF78AD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предложен</w:t>
            </w:r>
            <w:proofErr w:type="spellStart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ной</w:t>
            </w:r>
            <w:proofErr w:type="spellEnd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от</w:t>
            </w:r>
            <w:proofErr w:type="spellEnd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="00394722"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_____</w:t>
            </w: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="00394722"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</w:t>
            </w:r>
          </w:p>
        </w:tc>
      </w:tr>
      <w:tr w:rsidR="00FF78AD" w:rsidRPr="00FF78AD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FF78AD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FF78AD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FF78AD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6A166C2F" w:rsidR="00394722" w:rsidRPr="00FF78AD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6B59807E" w:rsidR="00394722" w:rsidRPr="00FF78AD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продукции</w:t>
            </w:r>
            <w:proofErr w:type="spellEnd"/>
          </w:p>
        </w:tc>
      </w:tr>
      <w:tr w:rsidR="00FF78AD" w:rsidRPr="00FF78AD" w14:paraId="2FBED623" w14:textId="77777777" w:rsidTr="006A07DD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298985F8" w:rsidR="00AF1B5D" w:rsidRPr="00FF78AD" w:rsidRDefault="00AF1B5D" w:rsidP="00AF1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0B73039F" w:rsidR="00AF1B5D" w:rsidRPr="00FF78AD" w:rsidRDefault="00AF1B5D" w:rsidP="00AF1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Тематические электронные рисунки и анимационные наброски (картографические проекции, Солнечная система, структура земного шара, типы ветров, процессы склонов, вулкан, структура земной коры, типы рельефа)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CB656B" w14:textId="08846958" w:rsidR="00AF1B5D" w:rsidRPr="00FF78AD" w:rsidRDefault="00AF1B5D" w:rsidP="00AF1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Демонстрация обучающих примеров тематических рисунков и анимационных эскизов на армянском языке, соответствующей раскраски, на </w:t>
            </w: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USB</w:t>
            </w: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-накопителе (тематические рисунки в формате </w:t>
            </w: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JPG</w:t>
            </w: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).• Трубчатая, коническая, азимутальная, множественная проекции даны на одном и том же изображении. • Солнечная система представлена на одном анимированном эскизе с сохранением различий в размерах планет. • Структура земного шара приведена на одном изображении, выделены области географической оболочки, такие как каменная сфера, водная сфера, атмосфера и биосфера, а также разделены по цветовой гамме на одной схеме: структура каменной сферы и атмосферы, сферы и </w:t>
            </w:r>
            <w:proofErr w:type="spellStart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подсферы</w:t>
            </w:r>
            <w:proofErr w:type="spellEnd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обозначены терминами, а в метрах-мощность их слоев. • Схемы возникновения типов ветров (пассаты, муссоны, бризы, горные ветры, циклоны) даются отдельно на различных анимированных эскизах. • </w:t>
            </w: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Процессы склона (оползень, камнепад, обвал, </w:t>
            </w:r>
            <w:proofErr w:type="spellStart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солифлюкция</w:t>
            </w:r>
            <w:proofErr w:type="spellEnd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) представлены на различных анимированных эскизах. • На продольном разрезе анимированного эскиза вулкана должны быть показаны магма, лава, отверстие, кратер, слои лавы и пепла, боковые кратеры с цветовым разделением. • На продольном разрезе изображения структуры земной коры должны быть видны слои океанической и наземной коры с цветовым разделением. </w:t>
            </w:r>
            <w:proofErr w:type="spellStart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межпатианский</w:t>
            </w:r>
            <w:proofErr w:type="spellEnd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, базальтовый, гранитный и осадочный слои. • Изображение типов рельефа должно отражать гору, равнину, долину и гидрографию в подходящей цветовой гамме.</w:t>
            </w:r>
          </w:p>
        </w:tc>
        <w:tc>
          <w:tcPr>
            <w:tcW w:w="2250" w:type="dxa"/>
          </w:tcPr>
          <w:p w14:paraId="2F3CB7E2" w14:textId="6871475B" w:rsidR="00AF1B5D" w:rsidRPr="00FF78AD" w:rsidRDefault="00AF1B5D" w:rsidP="00AF1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AF1B5D" w:rsidRPr="00FF78AD" w:rsidRDefault="00AF1B5D" w:rsidP="00AF1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FF78AD" w:rsidRPr="00FF78AD" w14:paraId="704A4020" w14:textId="77777777" w:rsidTr="006A07DD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729C64C" w14:textId="5D8AB69A" w:rsidR="00AF1B5D" w:rsidRPr="00FF78AD" w:rsidRDefault="00AF1B5D" w:rsidP="00AF1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8A92A54" w14:textId="118DC7CA" w:rsidR="00AF1B5D" w:rsidRPr="00FF78AD" w:rsidRDefault="00AF1B5D" w:rsidP="00AF1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Коллекция</w:t>
            </w:r>
            <w:proofErr w:type="spellEnd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образцов</w:t>
            </w:r>
            <w:proofErr w:type="spellEnd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минералов</w:t>
            </w:r>
            <w:proofErr w:type="spellEnd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РА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F6A6FF" w14:textId="4ABE9F19" w:rsidR="00AF1B5D" w:rsidRPr="00FF78AD" w:rsidRDefault="00AF1B5D" w:rsidP="00AF1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Образцы минералов РА (молибденит, медная руда (халькопирит), свинец (галенит), кварц, пирит, сера (серная руда), каменная соль, гипс, Базальт, андезит, гранит, обсидиан, пемза, туф, травертин, </w:t>
            </w:r>
            <w:proofErr w:type="spellStart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фельзит</w:t>
            </w:r>
            <w:proofErr w:type="spellEnd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, известняк, мрамор, доломит, метаморфический сланец, барит, диатомит, гранат для демонстрации требуется настенная витрина из закаленного или органического стекла толщиной 6 мм (±1 мм), размером 750 </w:t>
            </w: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250 </w:t>
            </w: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900 мм, которая должна иметь 5 горизонтальных и 5 вертикальных разделений. витрина должна иметь деревянную (лакированную) и металлическую (серую) опоры. Размеры образцов коллекции: 50 </w:t>
            </w: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120 </w:t>
            </w: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120 мм (± 5 мм), за исключением Агата. каждый образец должен иметь цифру. перед образцами на лицевой стороне витрины должна быть написана его цифра и название на армянском языке. лицевая часть образцов коллекции и та часть, которая будет расположена на витрине, должны быть выровнены или отполированы, а остальные части должны сохранять естественный вид (образец не должен быть сплющен со всех сторон, полированный прямоугольник). подавать </w:t>
            </w: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минеральный агат в брикете из </w:t>
            </w:r>
            <w:proofErr w:type="spellStart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бентонитовой</w:t>
            </w:r>
            <w:proofErr w:type="spellEnd"/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глины размером 50 </w:t>
            </w: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120 </w:t>
            </w: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x</w:t>
            </w: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120 мм, в который должен быть помещен агат размером более 4 см в диаметре и натуральный, и в сглаженном виде. Коллекция образцов минералов РА должна быть прикреплена к стене географической лаборатории в видимой учащимся части.</w:t>
            </w:r>
          </w:p>
        </w:tc>
        <w:tc>
          <w:tcPr>
            <w:tcW w:w="2250" w:type="dxa"/>
          </w:tcPr>
          <w:p w14:paraId="5B009168" w14:textId="4383DE5E" w:rsidR="00AF1B5D" w:rsidRPr="00FF78AD" w:rsidRDefault="00AF1B5D" w:rsidP="00AF1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ED608F1" w14:textId="77777777" w:rsidR="00AF1B5D" w:rsidRPr="00FF78AD" w:rsidRDefault="00AF1B5D" w:rsidP="00AF1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FF78AD" w:rsidRPr="00FF78AD" w14:paraId="2CAB790C" w14:textId="77777777" w:rsidTr="006A07DD">
        <w:trPr>
          <w:trHeight w:val="9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B8AFEB6" w14:textId="171A2122" w:rsidR="00AF1B5D" w:rsidRPr="00FF78AD" w:rsidRDefault="00AF1B5D" w:rsidP="00AF1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F78AD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E5A8C52" w14:textId="73C99369" w:rsidR="00AF1B5D" w:rsidRPr="00FF78AD" w:rsidRDefault="00AF1B5D" w:rsidP="00AF1B5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FF78A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Коллекция</w:t>
            </w:r>
            <w:proofErr w:type="spellEnd"/>
            <w:r w:rsidRPr="00FF78A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78A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образцов</w:t>
            </w:r>
            <w:proofErr w:type="spellEnd"/>
            <w:r w:rsidRPr="00FF78A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F78A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земель</w:t>
            </w:r>
            <w:proofErr w:type="spellEnd"/>
            <w:r w:rsidRPr="00FF78A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 xml:space="preserve"> РА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A260C1" w14:textId="1F6C0899" w:rsidR="00AF1B5D" w:rsidRPr="00FF78AD" w:rsidRDefault="00AF1B5D" w:rsidP="00AF1B5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FF78AD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  <w:t>Для демонстрации образцов почвы РА (горно-Луговая, лугово-Степная, Лесная серая, лесная коричневая, черноземная, коричневая, полупустынная серая, соляно-щелочная) требуется цилиндрическая форма диаметром 85 мм (± 5 мм), высотой 200 мм, толщиной 3 мм (± 1 мм), с закрытым горлышком, прозрачные полные сосуды (из стекла или пластика)и подставка из лакированного дерева для размещения их на стене. на сосудах должны быть написаны названия земель на армянском языке., чтобы цвет и структура почвы были четко выражены. Коллекция образцов земель РА должна быть прикреплена к стене географической лаборатории в видимой учащимся части.</w:t>
            </w:r>
          </w:p>
        </w:tc>
        <w:tc>
          <w:tcPr>
            <w:tcW w:w="2250" w:type="dxa"/>
          </w:tcPr>
          <w:p w14:paraId="3AE1EC64" w14:textId="5D6DF023" w:rsidR="00AF1B5D" w:rsidRPr="00FF78AD" w:rsidRDefault="00AF1B5D" w:rsidP="00AF1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09D7381" w14:textId="77777777" w:rsidR="00AF1B5D" w:rsidRPr="00FF78AD" w:rsidRDefault="00AF1B5D" w:rsidP="00AF1B5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14:paraId="4053BA3D" w14:textId="277C37D2" w:rsidR="00C92727" w:rsidRPr="00FF78AD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63763C1E" w14:textId="49ED3A04" w:rsidR="00AD67C0" w:rsidRPr="00FF78AD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2CD7939B" w14:textId="77777777" w:rsidR="00AD67C0" w:rsidRPr="00FF78AD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31B0361B" w14:textId="77777777" w:rsidR="00F0476E" w:rsidRPr="00FF78AD" w:rsidRDefault="00F0476E" w:rsidP="00F0476E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  <w:lang w:val="ru-RU"/>
        </w:rPr>
      </w:pPr>
      <w:r w:rsidRPr="00FF78AD">
        <w:rPr>
          <w:rFonts w:ascii="GHEA Grapalat" w:hAnsi="GHEA Grapalat"/>
          <w:color w:val="000000" w:themeColor="text1"/>
          <w:lang w:val="ru-RU"/>
        </w:rPr>
        <w:t>_________________________________________________</w:t>
      </w:r>
      <w:r w:rsidRPr="00FF78AD">
        <w:rPr>
          <w:rFonts w:ascii="GHEA Grapalat" w:hAnsi="GHEA Grapalat"/>
          <w:color w:val="000000" w:themeColor="text1"/>
          <w:lang w:val="ru-RU"/>
        </w:rPr>
        <w:tab/>
        <w:t>_________________</w:t>
      </w:r>
    </w:p>
    <w:p w14:paraId="50188AB1" w14:textId="73D439D9" w:rsidR="00F0476E" w:rsidRPr="00FF78AD" w:rsidRDefault="00F0476E" w:rsidP="00F0476E">
      <w:pPr>
        <w:widowControl w:val="0"/>
        <w:tabs>
          <w:tab w:val="left" w:pos="7513"/>
          <w:tab w:val="left" w:pos="12960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FF78AD">
        <w:rPr>
          <w:rFonts w:ascii="GHEA Grapalat" w:hAnsi="GHEA Grapalat"/>
          <w:color w:val="000000" w:themeColor="text1"/>
          <w:sz w:val="14"/>
          <w:lang w:val="ru-RU"/>
        </w:rPr>
        <w:t xml:space="preserve">                                                        наименование участника (должность, имя, фамилия руководителя)</w:t>
      </w:r>
      <w:r w:rsidRPr="00FF78AD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                                               подпись</w:t>
      </w:r>
    </w:p>
    <w:p w14:paraId="588D7CD2" w14:textId="77777777" w:rsidR="00F0476E" w:rsidRPr="00FF78AD" w:rsidRDefault="00F0476E" w:rsidP="00F0476E">
      <w:pPr>
        <w:widowControl w:val="0"/>
        <w:jc w:val="both"/>
        <w:rPr>
          <w:rFonts w:ascii="GHEA Grapalat" w:hAnsi="GHEA Grapalat"/>
          <w:color w:val="000000" w:themeColor="text1"/>
          <w:lang w:val="es-ES"/>
        </w:rPr>
      </w:pPr>
    </w:p>
    <w:p w14:paraId="6EB65A52" w14:textId="46FA59EF" w:rsidR="00AD67C0" w:rsidRPr="00FF78AD" w:rsidRDefault="00F0476E" w:rsidP="00F0476E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FF78AD">
        <w:rPr>
          <w:rFonts w:ascii="GHEA Grapalat" w:hAnsi="GHEA Grapalat"/>
          <w:color w:val="000000" w:themeColor="text1"/>
        </w:rPr>
        <w:t>М. П</w:t>
      </w:r>
      <w:r w:rsidRPr="00FF78AD">
        <w:rPr>
          <w:rFonts w:ascii="Cambria Math" w:hAnsi="Cambria Math"/>
          <w:color w:val="000000" w:themeColor="text1"/>
          <w:lang w:val="hy-AM"/>
        </w:rPr>
        <w:t>․</w:t>
      </w:r>
    </w:p>
    <w:p w14:paraId="64B3E357" w14:textId="77777777" w:rsidR="00AD67C0" w:rsidRPr="00FF78AD" w:rsidRDefault="00AD67C0" w:rsidP="00AD67C0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</w:p>
    <w:p w14:paraId="12C8E88C" w14:textId="77777777" w:rsidR="00F26F6B" w:rsidRPr="00FF78AD" w:rsidRDefault="00F26F6B">
      <w:pPr>
        <w:rPr>
          <w:color w:val="000000" w:themeColor="text1"/>
        </w:rPr>
      </w:pPr>
    </w:p>
    <w:sectPr w:rsidR="00F26F6B" w:rsidRPr="00FF78AD" w:rsidSect="00F0476E">
      <w:pgSz w:w="16838" w:h="11906" w:orient="landscape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2462BE"/>
    <w:rsid w:val="00394722"/>
    <w:rsid w:val="00421555"/>
    <w:rsid w:val="006876F8"/>
    <w:rsid w:val="006A07DD"/>
    <w:rsid w:val="008D244E"/>
    <w:rsid w:val="00A27867"/>
    <w:rsid w:val="00A336B1"/>
    <w:rsid w:val="00A611D4"/>
    <w:rsid w:val="00AD67C0"/>
    <w:rsid w:val="00AF1B5D"/>
    <w:rsid w:val="00C83A0A"/>
    <w:rsid w:val="00C92727"/>
    <w:rsid w:val="00D856FD"/>
    <w:rsid w:val="00F0476E"/>
    <w:rsid w:val="00F26F6B"/>
    <w:rsid w:val="00F819FE"/>
    <w:rsid w:val="00FF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a.arakelyan</cp:lastModifiedBy>
  <cp:revision>15</cp:revision>
  <cp:lastPrinted>2025-09-05T13:03:00Z</cp:lastPrinted>
  <dcterms:created xsi:type="dcterms:W3CDTF">2024-08-27T07:04:00Z</dcterms:created>
  <dcterms:modified xsi:type="dcterms:W3CDTF">2025-09-05T13:03:00Z</dcterms:modified>
</cp:coreProperties>
</file>