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4B09" w14:textId="5918F14C" w:rsidR="00E876F3" w:rsidRPr="00FB6AC5" w:rsidRDefault="00BC3551" w:rsidP="00BC3551">
      <w:pPr>
        <w:tabs>
          <w:tab w:val="left" w:pos="2844"/>
        </w:tabs>
        <w:spacing w:after="0"/>
        <w:ind w:right="-315"/>
        <w:jc w:val="right"/>
        <w:rPr>
          <w:rFonts w:ascii="GHEA Grapalat" w:hAnsi="GHEA Grapalat"/>
          <w:b/>
          <w:color w:val="000000" w:themeColor="text1"/>
          <w:sz w:val="24"/>
        </w:rPr>
      </w:pPr>
      <w:r w:rsidRPr="00FB6AC5">
        <w:rPr>
          <w:rFonts w:ascii="GHEA Grapalat" w:hAnsi="GHEA Grapalat"/>
          <w:b/>
          <w:color w:val="000000" w:themeColor="text1"/>
          <w:sz w:val="24"/>
        </w:rPr>
        <w:t>ՀԱՎԵԼՎԱԾ</w:t>
      </w:r>
    </w:p>
    <w:p w14:paraId="66E9C0B9" w14:textId="77777777" w:rsidR="00E876F3" w:rsidRPr="00FB6AC5" w:rsidRDefault="00E876F3" w:rsidP="00E876F3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026C8370" w14:textId="77777777" w:rsidR="008426EA" w:rsidRPr="00FB6AC5" w:rsidRDefault="008426EA" w:rsidP="008426EA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r w:rsidRPr="00FB6AC5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FB6AC5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FB6AC5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FB6AC5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FB6AC5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0" w:name="_Hlk17205613"/>
      <w:r w:rsidRPr="00FB6AC5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p w14:paraId="17FB0947" w14:textId="77777777" w:rsidR="008426EA" w:rsidRPr="00FB6AC5" w:rsidRDefault="008426EA" w:rsidP="008426EA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1" w:name="_Hlk124437772"/>
      <w:bookmarkEnd w:id="0"/>
      <w:r w:rsidRPr="00FB6AC5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1559"/>
        <w:gridCol w:w="1276"/>
        <w:gridCol w:w="1417"/>
        <w:gridCol w:w="1418"/>
        <w:gridCol w:w="1134"/>
        <w:gridCol w:w="850"/>
        <w:gridCol w:w="851"/>
        <w:gridCol w:w="1134"/>
        <w:gridCol w:w="992"/>
        <w:gridCol w:w="851"/>
        <w:gridCol w:w="2388"/>
      </w:tblGrid>
      <w:tr w:rsidR="00FB6AC5" w:rsidRPr="00FB6AC5" w14:paraId="49241849" w14:textId="77777777" w:rsidTr="008E4742">
        <w:trPr>
          <w:trHeight w:val="60"/>
          <w:jc w:val="center"/>
        </w:trPr>
        <w:tc>
          <w:tcPr>
            <w:tcW w:w="14448" w:type="dxa"/>
            <w:gridSpan w:val="12"/>
          </w:tcPr>
          <w:p w14:paraId="149F9502" w14:textId="77777777" w:rsidR="008426EA" w:rsidRPr="00FB6AC5" w:rsidRDefault="008426EA" w:rsidP="008E4742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  <w:proofErr w:type="spellEnd"/>
          </w:p>
        </w:tc>
      </w:tr>
      <w:tr w:rsidR="00FB6AC5" w:rsidRPr="00FB6AC5" w14:paraId="0CCD1290" w14:textId="77777777" w:rsidTr="008E4742">
        <w:trPr>
          <w:trHeight w:val="60"/>
          <w:jc w:val="center"/>
        </w:trPr>
        <w:tc>
          <w:tcPr>
            <w:tcW w:w="578" w:type="dxa"/>
            <w:vMerge w:val="restart"/>
            <w:vAlign w:val="center"/>
          </w:tcPr>
          <w:p w14:paraId="08C488F5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559" w:type="dxa"/>
            <w:vMerge w:val="restart"/>
            <w:vAlign w:val="center"/>
          </w:tcPr>
          <w:p w14:paraId="76C6C9B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պլանով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նախատեսված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ԳՄԱ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</w:t>
            </w:r>
            <w:proofErr w:type="spellEnd"/>
          </w:p>
          <w:p w14:paraId="4335397D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ման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(CPV)</w:t>
            </w:r>
          </w:p>
        </w:tc>
        <w:tc>
          <w:tcPr>
            <w:tcW w:w="1276" w:type="dxa"/>
            <w:vMerge w:val="restart"/>
            <w:vAlign w:val="center"/>
          </w:tcPr>
          <w:p w14:paraId="6BEB3950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3A02A82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ապրանքային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նշանը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ֆիրմային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մոդելը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արտադրողի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418" w:type="dxa"/>
            <w:vMerge w:val="restart"/>
            <w:vAlign w:val="center"/>
          </w:tcPr>
          <w:p w14:paraId="12F99DD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բնութագիրը</w:t>
            </w:r>
            <w:proofErr w:type="spellEnd"/>
          </w:p>
          <w:p w14:paraId="0D28E107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**</w:t>
            </w: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*</w:t>
            </w:r>
          </w:p>
        </w:tc>
        <w:tc>
          <w:tcPr>
            <w:tcW w:w="1134" w:type="dxa"/>
            <w:vMerge w:val="restart"/>
            <w:vAlign w:val="center"/>
          </w:tcPr>
          <w:p w14:paraId="744D8B8D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vAlign w:val="center"/>
          </w:tcPr>
          <w:p w14:paraId="5DEFA16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4D0FA59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6C505C08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4231" w:type="dxa"/>
            <w:gridSpan w:val="3"/>
          </w:tcPr>
          <w:p w14:paraId="61E7985D" w14:textId="77777777" w:rsidR="008426EA" w:rsidRPr="00FB6AC5" w:rsidRDefault="008426EA" w:rsidP="008E4742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FB6AC5" w:rsidRPr="00FB6AC5" w14:paraId="22DFD6FC" w14:textId="77777777" w:rsidTr="008E4742">
        <w:trPr>
          <w:trHeight w:val="60"/>
          <w:jc w:val="center"/>
        </w:trPr>
        <w:tc>
          <w:tcPr>
            <w:tcW w:w="578" w:type="dxa"/>
            <w:vMerge/>
            <w:vAlign w:val="center"/>
          </w:tcPr>
          <w:p w14:paraId="324DCB92" w14:textId="77777777" w:rsidR="008426EA" w:rsidRPr="00FB6AC5" w:rsidRDefault="008426EA" w:rsidP="008E474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559" w:type="dxa"/>
            <w:vMerge/>
            <w:vAlign w:val="center"/>
          </w:tcPr>
          <w:p w14:paraId="6D876EC9" w14:textId="77777777" w:rsidR="008426EA" w:rsidRPr="00FB6AC5" w:rsidRDefault="008426EA" w:rsidP="008E474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276" w:type="dxa"/>
            <w:vMerge/>
            <w:vAlign w:val="center"/>
          </w:tcPr>
          <w:p w14:paraId="7FB2118C" w14:textId="77777777" w:rsidR="008426EA" w:rsidRPr="00FB6AC5" w:rsidRDefault="008426EA" w:rsidP="008E474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417" w:type="dxa"/>
            <w:vMerge/>
            <w:vAlign w:val="center"/>
          </w:tcPr>
          <w:p w14:paraId="6D5823DD" w14:textId="77777777" w:rsidR="008426EA" w:rsidRPr="00FB6AC5" w:rsidRDefault="008426EA" w:rsidP="008E474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418" w:type="dxa"/>
            <w:vMerge/>
            <w:vAlign w:val="center"/>
          </w:tcPr>
          <w:p w14:paraId="6964C6CD" w14:textId="77777777" w:rsidR="008426EA" w:rsidRPr="00FB6AC5" w:rsidRDefault="008426EA" w:rsidP="008E474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14:paraId="5A2B8781" w14:textId="77777777" w:rsidR="008426EA" w:rsidRPr="00FB6AC5" w:rsidRDefault="008426EA" w:rsidP="008E474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52FA4251" w14:textId="77777777" w:rsidR="008426EA" w:rsidRPr="00FB6AC5" w:rsidRDefault="008426EA" w:rsidP="008E474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851" w:type="dxa"/>
            <w:vMerge/>
            <w:vAlign w:val="center"/>
          </w:tcPr>
          <w:p w14:paraId="65CF1130" w14:textId="77777777" w:rsidR="008426EA" w:rsidRPr="00FB6AC5" w:rsidRDefault="008426EA" w:rsidP="008E474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vMerge/>
            <w:vAlign w:val="center"/>
          </w:tcPr>
          <w:p w14:paraId="53D350A1" w14:textId="77777777" w:rsidR="008426EA" w:rsidRPr="00FB6AC5" w:rsidRDefault="008426EA" w:rsidP="008E4742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992" w:type="dxa"/>
            <w:vAlign w:val="center"/>
          </w:tcPr>
          <w:p w14:paraId="6CC9036E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851" w:type="dxa"/>
            <w:vAlign w:val="center"/>
          </w:tcPr>
          <w:p w14:paraId="76959615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ենթակա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388" w:type="dxa"/>
            <w:vAlign w:val="center"/>
          </w:tcPr>
          <w:p w14:paraId="63AB9F09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  <w:proofErr w:type="spellEnd"/>
          </w:p>
          <w:p w14:paraId="4A00FC67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</w:tr>
      <w:tr w:rsidR="00FB6AC5" w:rsidRPr="00FB6AC5" w14:paraId="658F43B3" w14:textId="77777777" w:rsidTr="008E4742">
        <w:trPr>
          <w:trHeight w:val="77"/>
          <w:jc w:val="center"/>
        </w:trPr>
        <w:tc>
          <w:tcPr>
            <w:tcW w:w="578" w:type="dxa"/>
            <w:vAlign w:val="center"/>
          </w:tcPr>
          <w:p w14:paraId="004733AE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46963B2E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39181200/530</w:t>
            </w:r>
          </w:p>
        </w:tc>
        <w:tc>
          <w:tcPr>
            <w:tcW w:w="1276" w:type="dxa"/>
            <w:vAlign w:val="center"/>
          </w:tcPr>
          <w:p w14:paraId="0C692A8F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Աշխարհագրության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լաբորատորիայի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պարագաներ</w:t>
            </w:r>
            <w:proofErr w:type="spellEnd"/>
          </w:p>
        </w:tc>
        <w:tc>
          <w:tcPr>
            <w:tcW w:w="1417" w:type="dxa"/>
            <w:vAlign w:val="center"/>
          </w:tcPr>
          <w:p w14:paraId="39925F74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F64C520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ստորև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Հավելված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1-ով</w:t>
            </w:r>
          </w:p>
        </w:tc>
        <w:tc>
          <w:tcPr>
            <w:tcW w:w="1134" w:type="dxa"/>
            <w:vAlign w:val="center"/>
          </w:tcPr>
          <w:p w14:paraId="17EB2A41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լրակազմ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14:paraId="33C0B9FC" w14:textId="1242BB20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03ABBF22" w14:textId="0B2E8220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ED032DF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443C85B4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Ներկայացվում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ստորև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Հավելված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2-ով</w:t>
            </w:r>
          </w:p>
        </w:tc>
        <w:tc>
          <w:tcPr>
            <w:tcW w:w="851" w:type="dxa"/>
            <w:vAlign w:val="center"/>
          </w:tcPr>
          <w:p w14:paraId="60E22B6C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388" w:type="dxa"/>
            <w:vAlign w:val="center"/>
          </w:tcPr>
          <w:p w14:paraId="5FA8B0B0" w14:textId="761C093F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Պայմանագիրը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կնքվելու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«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» ՀՀ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օրենքի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15-րդ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հոդվածի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6-րդ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պահանջների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սյունակում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ժամկետի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հաշվարկն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իրականացվելու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ֆինանսական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միջոցներ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նախատեսվելու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դեպքում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միջև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կնքվող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համաձայնագրի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ուժի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մեջ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մտնելուց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հետո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սահմանելով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մատակարարումն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իրկանացվելու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մինչև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2026թ-ի </w:t>
            </w:r>
            <w:proofErr w:type="spellStart"/>
            <w:r w:rsidR="00BA0512"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ապրիլի</w:t>
            </w:r>
            <w:proofErr w:type="spellEnd"/>
            <w:r w:rsidR="00BA0512"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30</w:t>
            </w: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-ը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ներառյալ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պահպանելով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ՀՀ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կառավարության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04/05/17թ. N 526-Ն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որոշմամբ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հաստատված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«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Գնումների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գործընթացի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կազմակերպման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կարգի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» 21-րդ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կետի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ենթակետի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«ը»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պարբերությամբ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սահմանված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պահանջները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****</w:t>
            </w:r>
          </w:p>
        </w:tc>
      </w:tr>
    </w:tbl>
    <w:p w14:paraId="44251C38" w14:textId="77777777" w:rsidR="008426EA" w:rsidRPr="00FB6AC5" w:rsidRDefault="008426EA" w:rsidP="008426EA">
      <w:pPr>
        <w:spacing w:after="0" w:line="240" w:lineRule="auto"/>
        <w:ind w:left="-360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bookmarkStart w:id="2" w:name="_Hlk160619173"/>
      <w:r w:rsidRPr="00FB6AC5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lastRenderedPageBreak/>
        <w:t>* 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5EB8634A" w14:textId="77777777" w:rsidR="008426EA" w:rsidRPr="00FB6AC5" w:rsidRDefault="008426EA" w:rsidP="008426EA">
      <w:pPr>
        <w:spacing w:after="0" w:line="240" w:lineRule="auto"/>
        <w:ind w:left="-360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FB6AC5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Եթե ընտրված մասնակցի հայտով ներկայցվել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62C5EAA4" w14:textId="77777777" w:rsidR="008426EA" w:rsidRPr="00FB6AC5" w:rsidRDefault="008426EA" w:rsidP="008426EA">
      <w:pPr>
        <w:spacing w:after="0" w:line="240" w:lineRule="auto"/>
        <w:ind w:left="-360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FB6AC5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5DC790D5" w14:textId="6963C79B" w:rsidR="008426EA" w:rsidRPr="00FB6AC5" w:rsidRDefault="008426EA" w:rsidP="008426EA">
      <w:pPr>
        <w:spacing w:after="0" w:line="240" w:lineRule="auto"/>
        <w:ind w:left="-360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FB6AC5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**** 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դպրոցների ցանկում նշված հասցեներով: </w:t>
      </w:r>
      <w:r w:rsidRPr="00FB6AC5">
        <w:rPr>
          <w:rFonts w:ascii="GHEA Grapalat" w:eastAsia="Calibri" w:hAnsi="GHEA Grapalat"/>
          <w:color w:val="000000" w:themeColor="text1"/>
          <w:sz w:val="16"/>
          <w:szCs w:val="16"/>
          <w:lang w:val="pt-BR"/>
        </w:rPr>
        <w:t xml:space="preserve">Մատակարարման վերջնաժամկետն է 2026թ-ի </w:t>
      </w:r>
      <w:r w:rsidR="00BA0512" w:rsidRPr="00FB6AC5">
        <w:rPr>
          <w:rFonts w:ascii="GHEA Grapalat" w:eastAsia="Calibri" w:hAnsi="GHEA Grapalat"/>
          <w:color w:val="000000" w:themeColor="text1"/>
          <w:sz w:val="16"/>
          <w:szCs w:val="16"/>
          <w:lang w:val="pt-BR"/>
        </w:rPr>
        <w:t>ապրիլի 30</w:t>
      </w:r>
      <w:r w:rsidRPr="00FB6AC5">
        <w:rPr>
          <w:rFonts w:ascii="GHEA Grapalat" w:eastAsia="Calibri" w:hAnsi="GHEA Grapalat"/>
          <w:color w:val="000000" w:themeColor="text1"/>
          <w:sz w:val="16"/>
          <w:szCs w:val="16"/>
          <w:lang w:val="pt-BR"/>
        </w:rPr>
        <w:t>-ը ներառյալ</w:t>
      </w:r>
      <w:r w:rsidRPr="00FB6AC5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, որն իր մեջ ներառում է համապատասխանության ստուգումը պահեստում (առավելագույնը 10 աշխատանքային օր):</w:t>
      </w:r>
    </w:p>
    <w:p w14:paraId="4C0C33DD" w14:textId="77777777" w:rsidR="008426EA" w:rsidRPr="00FB6AC5" w:rsidRDefault="008426EA" w:rsidP="008426EA">
      <w:pPr>
        <w:spacing w:after="0" w:line="240" w:lineRule="auto"/>
        <w:ind w:left="-360" w:right="-270" w:firstLine="218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FB6AC5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FB6AC5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hy-AM"/>
        </w:rPr>
        <w:t xml:space="preserve">, </w:t>
      </w:r>
      <w:r w:rsidRPr="00FB6AC5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բեռնաթափումը, տեղադրումը և փորձարկումը կատարում է մատակարարը:</w:t>
      </w:r>
      <w:bookmarkEnd w:id="2"/>
    </w:p>
    <w:bookmarkEnd w:id="1"/>
    <w:p w14:paraId="3F15F66B" w14:textId="5D4CA689" w:rsidR="00E876F3" w:rsidRPr="00FB6AC5" w:rsidRDefault="00E876F3" w:rsidP="00E876F3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FB6AC5" w:rsidSect="009D35BC">
          <w:pgSz w:w="15840" w:h="12240" w:orient="landscape"/>
          <w:pgMar w:top="426" w:right="990" w:bottom="270" w:left="990" w:header="720" w:footer="720" w:gutter="0"/>
          <w:cols w:space="720"/>
          <w:docGrid w:linePitch="360"/>
        </w:sectPr>
      </w:pPr>
      <w:r w:rsidRPr="00FB6AC5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489B3B51" w14:textId="77777777" w:rsidR="00E876F3" w:rsidRPr="00FB6AC5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bookmarkStart w:id="3" w:name="_Hlk160619318"/>
      <w:r w:rsidRPr="00FB6AC5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063F611B" w14:textId="77777777" w:rsidR="00E876F3" w:rsidRPr="00FB6AC5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FB6AC5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487CF1A5" w14:textId="77777777" w:rsidR="00E876F3" w:rsidRPr="00FB6AC5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FB6AC5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  <w:bookmarkEnd w:id="3"/>
    </w:p>
    <w:p w14:paraId="7C4F208D" w14:textId="77777777" w:rsidR="00E876F3" w:rsidRPr="00FB6AC5" w:rsidRDefault="00E876F3" w:rsidP="00E876F3">
      <w:pPr>
        <w:spacing w:after="0"/>
        <w:ind w:left="5760" w:right="-45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02A0CAB8" w14:textId="77777777" w:rsidR="00E876F3" w:rsidRPr="00FB6AC5" w:rsidRDefault="00E876F3" w:rsidP="00E876F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FB6AC5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</w:p>
    <w:tbl>
      <w:tblPr>
        <w:tblW w:w="14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1679"/>
        <w:gridCol w:w="4632"/>
        <w:gridCol w:w="850"/>
        <w:gridCol w:w="1559"/>
        <w:gridCol w:w="1701"/>
        <w:gridCol w:w="1701"/>
        <w:gridCol w:w="2175"/>
      </w:tblGrid>
      <w:tr w:rsidR="00FB6AC5" w:rsidRPr="00FB6AC5" w14:paraId="0129D8B4" w14:textId="77777777" w:rsidTr="008E4742">
        <w:trPr>
          <w:trHeight w:val="780"/>
          <w:jc w:val="center"/>
        </w:trPr>
        <w:tc>
          <w:tcPr>
            <w:tcW w:w="430" w:type="dxa"/>
            <w:vMerge w:val="restart"/>
            <w:shd w:val="clear" w:color="auto" w:fill="C5E0B3" w:themeFill="accent6" w:themeFillTint="66"/>
            <w:vAlign w:val="center"/>
            <w:hideMark/>
          </w:tcPr>
          <w:p w14:paraId="6F433C0D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679" w:type="dxa"/>
            <w:vMerge w:val="restart"/>
            <w:shd w:val="clear" w:color="auto" w:fill="C5E0B3" w:themeFill="accent6" w:themeFillTint="66"/>
            <w:vAlign w:val="center"/>
            <w:hideMark/>
          </w:tcPr>
          <w:p w14:paraId="0163C4C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4632" w:type="dxa"/>
            <w:vMerge w:val="restart"/>
            <w:shd w:val="clear" w:color="auto" w:fill="C5E0B3" w:themeFill="accent6" w:themeFillTint="66"/>
            <w:vAlign w:val="center"/>
            <w:hideMark/>
          </w:tcPr>
          <w:p w14:paraId="6B8091C1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</w:t>
            </w:r>
            <w:proofErr w:type="spellEnd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բնութագրեր</w:t>
            </w:r>
            <w:proofErr w:type="spellEnd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չափանիշներ</w:t>
            </w:r>
            <w:proofErr w:type="spellEnd"/>
          </w:p>
        </w:tc>
        <w:tc>
          <w:tcPr>
            <w:tcW w:w="850" w:type="dxa"/>
            <w:vMerge w:val="restart"/>
            <w:shd w:val="clear" w:color="auto" w:fill="C5E0B3" w:themeFill="accent6" w:themeFillTint="66"/>
            <w:vAlign w:val="center"/>
            <w:hideMark/>
          </w:tcPr>
          <w:p w14:paraId="3E64914D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</w:t>
            </w:r>
            <w:proofErr w:type="spellEnd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միավորը</w:t>
            </w:r>
            <w:proofErr w:type="spellEnd"/>
            <w:r w:rsidRPr="00FB6AC5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3327037A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՝ 10-աշակերտ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7ABD2440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՝ 20-աշակերտ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4524AFA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՝ 20-աշակերտ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  <w:tc>
          <w:tcPr>
            <w:tcW w:w="2175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2B734BA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քանակ</w:t>
            </w:r>
            <w:proofErr w:type="spellEnd"/>
          </w:p>
        </w:tc>
      </w:tr>
      <w:tr w:rsidR="00FB6AC5" w:rsidRPr="00FB6AC5" w14:paraId="5662FBD1" w14:textId="77777777" w:rsidTr="008E4742">
        <w:trPr>
          <w:trHeight w:val="300"/>
          <w:jc w:val="center"/>
        </w:trPr>
        <w:tc>
          <w:tcPr>
            <w:tcW w:w="430" w:type="dxa"/>
            <w:vMerge/>
            <w:shd w:val="clear" w:color="auto" w:fill="C5E0B3" w:themeFill="accent6" w:themeFillTint="66"/>
            <w:vAlign w:val="center"/>
            <w:hideMark/>
          </w:tcPr>
          <w:p w14:paraId="3D6B2A1D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679" w:type="dxa"/>
            <w:vMerge/>
            <w:shd w:val="clear" w:color="auto" w:fill="C5E0B3" w:themeFill="accent6" w:themeFillTint="66"/>
            <w:vAlign w:val="center"/>
            <w:hideMark/>
          </w:tcPr>
          <w:p w14:paraId="533B6145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32" w:type="dxa"/>
            <w:vMerge/>
            <w:shd w:val="clear" w:color="auto" w:fill="C5E0B3" w:themeFill="accent6" w:themeFillTint="66"/>
            <w:vAlign w:val="center"/>
            <w:hideMark/>
          </w:tcPr>
          <w:p w14:paraId="280F64FE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C5E0B3" w:themeFill="accent6" w:themeFillTint="66"/>
            <w:vAlign w:val="center"/>
            <w:hideMark/>
          </w:tcPr>
          <w:p w14:paraId="71A21E57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7372E70A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A165928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133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6670402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2175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1911AE93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FB6AC5" w:rsidRPr="00FB6AC5" w14:paraId="2A3927F3" w14:textId="77777777" w:rsidTr="008E4742">
        <w:trPr>
          <w:trHeight w:val="1905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2E636688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bookmarkStart w:id="4" w:name="_Hlk175563835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36612E92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Թեմատիկ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էլեկտրոնային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նկարներ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անիմացիոն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էսքիզներ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քարտեզագրական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պրոյեկցիաներ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Արեգակնային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Երկրագնդի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կառուցվածքը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քամիների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տեսակներ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լանջային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պրոցեսներ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հրաբուխ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երկրակեղևի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կառուցվածք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ռելիեֆի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տիպեր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4632" w:type="dxa"/>
            <w:shd w:val="clear" w:color="auto" w:fill="auto"/>
            <w:vAlign w:val="center"/>
          </w:tcPr>
          <w:p w14:paraId="49447599" w14:textId="77777777" w:rsidR="008426EA" w:rsidRPr="00FB6AC5" w:rsidRDefault="008426EA" w:rsidP="008E474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Թեմատիկ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նկարների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անիմացիոն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էսքիզների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ուսուցողական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օրինակների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ցուցադրություն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հայերեն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լեզվով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համապատասխան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գունավորմամբ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USB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ֆլեշ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կրիչով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թեմատիկ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նկարները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JPG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ձևաչափով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): •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Միևնույն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նկարի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տրվում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գլանային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ազիմուտային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բազմակող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պրոյեկցիաները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•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Արեգակնային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համակարգը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տրվում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անիմացիոն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էսքիզի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պահպանելով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մոլորակների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մեծությունների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տարբերությունները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:•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Երկրագնդի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կառուցվածքը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տրվում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նկարի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առանձնացվում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աշխարհագրական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թաղանթի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ոլորտները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քարոլորտը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ջրոլորտը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մթնոլորտը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կենսոլորտը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ինչպես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նաև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միևնույն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սխեմայում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գունային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երանգավորմամբ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տարանջատվում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քարոլորտի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մթնոլորտի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կառուցվածքը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տերմիններով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նշվում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ոլորտներն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ենթոլորտները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մետրերով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դրանց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շերտերի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հզորությունը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•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Քամիների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տեսակների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պասսատներ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մուսսոններ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բրիզներ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լեռնահովտային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քամիներ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ցիկլոններ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առաջացման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սխեմաներն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առանձին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տրվում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տարբեր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անիմացիոն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էսքիզների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:•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Լանջային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պրոցեսները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սողանք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քարաթափվածք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փլուզում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սոլիֆլյուկցիա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տրվում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տարբեր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անիմացիոն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էսքիզների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•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Հրաբխի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անիմացիոն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էսքիզի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երկայնակի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կտրվածքում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գունային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առանձնացմամբ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երևան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մագման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լավան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մղանցքը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խառնարանը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լավայի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մոխրի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շերտերը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խառնարանները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 •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Երկրակեղևի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կառուցվածքի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նկարի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երկայնակի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կտրվածքում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գունային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առանձնացմամբ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երևան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օվկիանոսային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ցամաքային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կեղևների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շերտերը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միջնապատյանը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բազալտե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գրանիտե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նստվածքային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շերտերը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:•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Ռելիեֆի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տիպերի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նկարը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արտահայտի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լեռը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հարթավայրը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հովիտն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ջրագրությունը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գունային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համապատասխան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երանգավորմամբ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2605143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1A59A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EDF4C5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D3FDA3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FB6286A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FB6AC5" w:rsidRPr="00FB6AC5" w14:paraId="2FFE5443" w14:textId="77777777" w:rsidTr="008E4742">
        <w:trPr>
          <w:trHeight w:val="431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6DBE6D04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3D692731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ՀՀ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միներալների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32" w:type="dxa"/>
            <w:shd w:val="clear" w:color="auto" w:fill="auto"/>
            <w:vAlign w:val="center"/>
          </w:tcPr>
          <w:p w14:paraId="06115CA5" w14:textId="77777777" w:rsidR="008426EA" w:rsidRPr="00FB6AC5" w:rsidRDefault="008426EA" w:rsidP="008E474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ՀՀ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միներալների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մոլիբդենիտ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պղնձի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հանքաքար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խալկոպիրիտ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կապար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գալենիտ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քվարց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պիրիտ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ծծումբ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ծծմբի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հանքաքար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քարաղ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գիպս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բազալտ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անդեզիտ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գրանիտ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օբսիդիան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պեմզա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տուֆ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տրավերտին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ֆելզիտ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կրաքար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մարմար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դոլոմիտ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մետամորֆային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թերթաքար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բարիտ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դիատոմիտ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նռնաքար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պեռլիտ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ագաթ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ցուցադրելու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անհրաժեշտ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պատի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ցուցափեղկ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6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(±1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հաստությամբ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կարծրացված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օրգանական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ապակուց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չափը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՝ 750 x 250 x 900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ունենա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5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հորիզոնական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5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ուղղահայաց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բաժանում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Ցուցափեղկը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ունենա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փայտյա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լաքապատ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մետաղական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մոխրագույն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հենարան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չափերը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՝ 50 x 120 x 120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(± 5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բացառությամբ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ագաթից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Յուրաքանչյուր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ունենա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թվանշում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դիմաց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՝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ցուցափեղկի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դիմերեսին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գրված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լինի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դրա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թվանիշն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հայերեն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լեզվով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ճակատային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այն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հատվածը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տեղակայվելու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ցուցափեղկի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հարթեցված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հղկված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լինի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իսկ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մնացած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մասերով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պահպանի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տեսքը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չպետք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լինի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բոլոր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կողմերով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հարթեցված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հղկված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ուղանկյունանիստ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):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Միներալներից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ագաթը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ներկայացնել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50 x 120 x 120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մմ-անոց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բենտոնիտային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կավի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բրիկետով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մեջ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տեղադրված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լինի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4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տրամագծից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չափերով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ագաթ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բնական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հարթեցված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տեսքով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ՀՀ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միներալների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ամրացնել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աշխարհագրության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լաբորատորիայի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պատին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աշակերտներին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տեսանելի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հատվածում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1BD140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75DA4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2ACE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EC96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6EF28D5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tr w:rsidR="00FB6AC5" w:rsidRPr="00FB6AC5" w14:paraId="10ADBAE5" w14:textId="77777777" w:rsidTr="008E4742">
        <w:trPr>
          <w:trHeight w:val="1020"/>
          <w:jc w:val="center"/>
        </w:trPr>
        <w:tc>
          <w:tcPr>
            <w:tcW w:w="430" w:type="dxa"/>
            <w:shd w:val="clear" w:color="auto" w:fill="auto"/>
            <w:vAlign w:val="center"/>
          </w:tcPr>
          <w:p w14:paraId="4AF362DC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79" w:type="dxa"/>
            <w:shd w:val="clear" w:color="auto" w:fill="auto"/>
            <w:vAlign w:val="center"/>
          </w:tcPr>
          <w:p w14:paraId="76246790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ՀՀ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հողերի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4632" w:type="dxa"/>
            <w:shd w:val="clear" w:color="auto" w:fill="auto"/>
            <w:vAlign w:val="center"/>
          </w:tcPr>
          <w:p w14:paraId="6DA5F0C0" w14:textId="77777777" w:rsidR="008426EA" w:rsidRPr="00FB6AC5" w:rsidRDefault="008426EA" w:rsidP="008E4742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ՀՀ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հողերի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լեռնամարգագետնային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մարգագետնատափաստանային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անտառային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գորշ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անտառային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դարչնագույն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սևահող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շագանակագույն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կիսաանապատային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գորշ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աղուտ-ալկալի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ցուցադրելու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անհրաժեշտ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գլանաձև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՝ 85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(± 5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տրամագծով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200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բարձրությամբ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3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(± 1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հաստությամբ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բերանով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թափանցիկ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ամբողջական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անոթներ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ապակուց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պլաստմասսայից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դրանք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պատի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տեղակայելու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լաքապատ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փայտյա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ստենդ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Ստենդը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ունենա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կախիչներ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և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մետաղական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մոխրագույն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հենարան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Անոթների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վրա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հայերեն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լեզվով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գրված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հողերի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անվանումները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Անոթները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լինեն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ոչ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գունավոր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որպեսզի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հստակ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արտահայտվի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հողի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գույնն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ու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կառուցվածքը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: ՀՀ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հողերի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նմուշների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հավաքածուն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պետք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է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ամրացնել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աշխարհագրության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լաբորատորիայի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պատին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աշակերտներին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տեսանելի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հատվածում</w:t>
            </w:r>
            <w:proofErr w:type="spellEnd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11F641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0E2DE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C54E3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15411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5142F494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150</w:t>
            </w:r>
          </w:p>
        </w:tc>
      </w:tr>
      <w:bookmarkEnd w:id="4"/>
    </w:tbl>
    <w:p w14:paraId="121EC85C" w14:textId="77777777" w:rsidR="00E876F3" w:rsidRPr="00FB6AC5" w:rsidRDefault="00E876F3" w:rsidP="00E876F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41F922F3" w14:textId="77777777" w:rsidR="00E876F3" w:rsidRPr="00FB6AC5" w:rsidRDefault="00E876F3" w:rsidP="00E876F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</w:rPr>
      </w:pPr>
    </w:p>
    <w:p w14:paraId="20B07ED3" w14:textId="06DCBD09" w:rsidR="00E876F3" w:rsidRPr="00FB6AC5" w:rsidRDefault="00E876F3" w:rsidP="00E876F3">
      <w:pPr>
        <w:spacing w:after="0"/>
        <w:ind w:left="5760" w:right="-360" w:hanging="5760"/>
        <w:jc w:val="right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876F3" w:rsidRPr="00FB6AC5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</w:p>
    <w:p w14:paraId="2DFE18E1" w14:textId="77777777" w:rsidR="00E876F3" w:rsidRPr="00FB6AC5" w:rsidRDefault="00E876F3" w:rsidP="00E876F3">
      <w:pPr>
        <w:spacing w:line="240" w:lineRule="auto"/>
        <w:ind w:left="5760" w:right="-22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FB6AC5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080D3A5F" w14:textId="77777777" w:rsidR="00E876F3" w:rsidRPr="00FB6AC5" w:rsidRDefault="00E876F3" w:rsidP="00E876F3">
      <w:pPr>
        <w:spacing w:after="0" w:line="240" w:lineRule="auto"/>
        <w:ind w:left="5760" w:right="-22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FB6AC5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E84FEB0" w14:textId="77777777" w:rsidR="00E876F3" w:rsidRPr="00FB6AC5" w:rsidRDefault="00E876F3" w:rsidP="00E876F3">
      <w:pPr>
        <w:spacing w:after="0" w:line="240" w:lineRule="auto"/>
        <w:ind w:left="5760" w:right="-229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FB6AC5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4F2B9E46" w14:textId="77777777" w:rsidR="00E876F3" w:rsidRPr="00FB6AC5" w:rsidRDefault="00E876F3" w:rsidP="00E876F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FB6AC5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5763B27A" w14:textId="77777777" w:rsidR="00E876F3" w:rsidRPr="00FB6AC5" w:rsidRDefault="00E876F3" w:rsidP="00E876F3">
      <w:pPr>
        <w:spacing w:after="0" w:line="240" w:lineRule="auto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FB6AC5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tbl>
      <w:tblPr>
        <w:tblW w:w="5133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359"/>
        <w:gridCol w:w="4866"/>
        <w:gridCol w:w="3643"/>
      </w:tblGrid>
      <w:tr w:rsidR="00FB6AC5" w:rsidRPr="00FB6AC5" w14:paraId="38D6A0C3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19E43C31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Հ/հ</w:t>
            </w: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</w:tcPr>
          <w:p w14:paraId="63E5EC41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Քաղաք</w:t>
            </w:r>
            <w:proofErr w:type="spellEnd"/>
            <w:r w:rsidRPr="00FB6AC5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FB6AC5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Համայնք</w:t>
            </w:r>
            <w:proofErr w:type="spellEnd"/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center"/>
            <w:hideMark/>
          </w:tcPr>
          <w:p w14:paraId="06A56C42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Դպրոց</w:t>
            </w:r>
            <w:proofErr w:type="spellEnd"/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36D002" w14:textId="77777777" w:rsidR="008426EA" w:rsidRPr="00FB6AC5" w:rsidRDefault="008426EA" w:rsidP="008E474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Հասցե</w:t>
            </w:r>
            <w:proofErr w:type="spellEnd"/>
          </w:p>
        </w:tc>
      </w:tr>
      <w:tr w:rsidR="00FB6AC5" w:rsidRPr="00FB6AC5" w14:paraId="2C57938A" w14:textId="77777777" w:rsidTr="008E4742">
        <w:trPr>
          <w:trHeight w:val="68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1CE22FF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՝ 10-աշակերտ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FB6AC5" w:rsidRPr="00FB6AC5" w14:paraId="749255AD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3E96E" w14:textId="77777777" w:rsidR="008426EA" w:rsidRPr="00FB6AC5" w:rsidRDefault="008426EA" w:rsidP="008E4742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EE1B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5677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Սահյանի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70 հ/դ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DF3F7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highlight w:val="yellow"/>
              </w:rPr>
            </w:pPr>
            <w:proofErr w:type="spellStart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Սարի-թաղ</w:t>
            </w:r>
            <w:proofErr w:type="spellEnd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, 44</w:t>
            </w:r>
          </w:p>
        </w:tc>
      </w:tr>
      <w:tr w:rsidR="00FB6AC5" w:rsidRPr="00FB6AC5" w14:paraId="367D2322" w14:textId="77777777" w:rsidTr="008E4742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  <w:vAlign w:val="center"/>
          </w:tcPr>
          <w:p w14:paraId="2CEDB67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Հիմնական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՝ 20-աշակերտ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FB6AC5" w:rsidRPr="00FB6AC5" w14:paraId="2AF5B0C1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9A285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CB9F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7C12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Մորգենթաուի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126 հ/դ</w:t>
            </w:r>
          </w:p>
        </w:tc>
        <w:tc>
          <w:tcPr>
            <w:tcW w:w="1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CF6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Էստոնական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</w:t>
            </w:r>
          </w:p>
        </w:tc>
      </w:tr>
      <w:tr w:rsidR="00FB6AC5" w:rsidRPr="00FB6AC5" w14:paraId="40BBA03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AA0E6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67A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4522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1606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Շիրազի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FB6AC5" w:rsidRPr="00FB6AC5" w14:paraId="041A9B3B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272F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221A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2970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D5B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Ֆուչիկի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FB6AC5" w:rsidRPr="00FB6AC5" w14:paraId="204EF4AD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1D53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C797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C9AB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Ջ.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Աբրահամյանի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C86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1\5</w:t>
            </w:r>
          </w:p>
        </w:tc>
      </w:tr>
      <w:tr w:rsidR="00FB6AC5" w:rsidRPr="00FB6AC5" w14:paraId="5ED3C17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D569C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0564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A665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Մեծարենցի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5DAB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Լուկաշին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6</w:t>
            </w:r>
          </w:p>
        </w:tc>
      </w:tr>
      <w:tr w:rsidR="00FB6AC5" w:rsidRPr="00FB6AC5" w14:paraId="29C326F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2EF03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84A0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D368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Արշակյանի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1AB3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Գ-3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FB6AC5" w:rsidRPr="00FB6AC5" w14:paraId="236A909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AA97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4555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A779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Սարոյանի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DFC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30ա</w:t>
            </w:r>
          </w:p>
        </w:tc>
      </w:tr>
      <w:tr w:rsidR="00FB6AC5" w:rsidRPr="00FB6AC5" w14:paraId="47DE6DA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8B1C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9652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7B648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Դ.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Սարապյանի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CB8E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Մարգարյան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FB6AC5" w:rsidRPr="00FB6AC5" w14:paraId="77FC8B4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1838C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0709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B5B4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265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FB6AC5" w:rsidRPr="00FB6AC5" w14:paraId="7EBEE0DB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7EFD2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81AA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2C6C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Ռ.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Իշխանյանի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281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Առաքելյան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47</w:t>
            </w:r>
          </w:p>
        </w:tc>
      </w:tr>
      <w:tr w:rsidR="00FB6AC5" w:rsidRPr="00FB6AC5" w14:paraId="00EC0494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51DF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BF9B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842C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720A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Բեկնազարյան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FB6AC5" w:rsidRPr="00FB6AC5" w14:paraId="5952A8A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862E0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625A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F943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Պ.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Յավորովի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506C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Արզումանյան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22</w:t>
            </w:r>
          </w:p>
        </w:tc>
      </w:tr>
      <w:tr w:rsidR="00FB6AC5" w:rsidRPr="00FB6AC5" w14:paraId="7C5828B4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C379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DE63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67D1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168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A76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Բաշինջաղյան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FB6AC5" w:rsidRPr="00FB6AC5" w14:paraId="5742E0C3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7F1E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F9A4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F9E9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Լ.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Միրիջանյանի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155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300C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Բաշինջաղյան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</w:p>
        </w:tc>
      </w:tr>
      <w:tr w:rsidR="00FB6AC5" w:rsidRPr="00FB6AC5" w14:paraId="660BCC1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57155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9913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49B7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CC55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FB6AC5" w:rsidRPr="00FB6AC5" w14:paraId="289AC3FA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33C6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187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C1F2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104 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36B5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Աճառյան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FB6AC5" w:rsidRPr="00FB6AC5" w14:paraId="7EECF5FA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D049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60C9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E0B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Զ.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Եսայանի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36B0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Ավան-Առինջ</w:t>
            </w:r>
            <w:proofErr w:type="spellEnd"/>
          </w:p>
        </w:tc>
      </w:tr>
      <w:tr w:rsidR="00FB6AC5" w:rsidRPr="00FB6AC5" w14:paraId="3BF0DC1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5783F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2EF9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F350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Կ.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Ասրյանի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1081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FB6AC5" w:rsidRPr="00FB6AC5" w14:paraId="343F908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8F205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9671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566F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Ստարովոյտովայի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C5B8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Դուրյան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թաղամս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24</w:t>
            </w:r>
          </w:p>
        </w:tc>
      </w:tr>
      <w:tr w:rsidR="00FB6AC5" w:rsidRPr="00FB6AC5" w14:paraId="52F71043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7452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4F46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0402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Կապուտիկյանի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AB96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Էմինի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</w:t>
            </w:r>
          </w:p>
        </w:tc>
      </w:tr>
      <w:tr w:rsidR="00FB6AC5" w:rsidRPr="00FB6AC5" w14:paraId="43EF0F58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7B97F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4313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0594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Ղ.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Աղայանի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CEC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Կիևյան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FB6AC5" w:rsidRPr="00FB6AC5" w14:paraId="76CC01D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6A27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1231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B5FA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Հայկ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Բժշկյանցի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0612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Քոչար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29</w:t>
            </w:r>
          </w:p>
        </w:tc>
      </w:tr>
      <w:tr w:rsidR="00FB6AC5" w:rsidRPr="00FB6AC5" w14:paraId="10999B94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E70F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F821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DF96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Ռ.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D0D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40</w:t>
            </w:r>
          </w:p>
        </w:tc>
      </w:tr>
      <w:tr w:rsidR="00FB6AC5" w:rsidRPr="00FB6AC5" w14:paraId="090C630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23D93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1352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1D41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Արգենտինյան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Հանրապետություն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260E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52</w:t>
            </w:r>
          </w:p>
        </w:tc>
      </w:tr>
      <w:tr w:rsidR="00FB6AC5" w:rsidRPr="00FB6AC5" w14:paraId="22089F51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EABC0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FB9C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780C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Րաֆֆու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339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Կոմիտաս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37</w:t>
            </w:r>
          </w:p>
        </w:tc>
      </w:tr>
      <w:tr w:rsidR="00FB6AC5" w:rsidRPr="00FB6AC5" w14:paraId="017016A4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4A524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0313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BF9D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Օշականի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B38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57/3</w:t>
            </w:r>
          </w:p>
        </w:tc>
      </w:tr>
      <w:tr w:rsidR="008426EA" w:rsidRPr="00FB6AC5" w14:paraId="785ABB0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147D4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D56F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E744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Լ.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Տոլստոյի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FE89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8426EA" w:rsidRPr="00FB6AC5" w14:paraId="1E9A435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6C587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A3C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C246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Պողոսյանի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D106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Մամիկոնյանց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33</w:t>
            </w:r>
          </w:p>
        </w:tc>
      </w:tr>
      <w:tr w:rsidR="008426EA" w:rsidRPr="00FB6AC5" w14:paraId="19E6A538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61BE0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82DD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3D6F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Շիրվանզադեի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9D1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Վաղարշյան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24</w:t>
            </w:r>
          </w:p>
        </w:tc>
      </w:tr>
      <w:tr w:rsidR="008426EA" w:rsidRPr="00FB6AC5" w14:paraId="22C4AC6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D26B7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31E5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08E2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Հայրապետյանի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789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 57/2  </w:t>
            </w:r>
          </w:p>
        </w:tc>
      </w:tr>
      <w:tr w:rsidR="008426EA" w:rsidRPr="00FB6AC5" w14:paraId="7CE204E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59F16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5026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938F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Զորյանի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AA9D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Հրաչյա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Քոչարի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8426EA" w:rsidRPr="00FB6AC5" w14:paraId="24E5C34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2F86C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10D4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7C9B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Ռ.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Միրոյանի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258C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Ադոնցի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8426EA" w:rsidRPr="00FB6AC5" w14:paraId="59666209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08E73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5929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5894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CA7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Հակոբյանի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8426EA" w:rsidRPr="00FB6AC5" w14:paraId="5969754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BDF5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2FD6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0C74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Պետրոսյանի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3E6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23</w:t>
            </w:r>
          </w:p>
        </w:tc>
      </w:tr>
      <w:tr w:rsidR="008426EA" w:rsidRPr="00FB6AC5" w14:paraId="78484D25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5CA23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87F4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Արաբկիր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7831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Իսակովի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DAB7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28</w:t>
            </w:r>
          </w:p>
        </w:tc>
      </w:tr>
      <w:tr w:rsidR="008426EA" w:rsidRPr="00FB6AC5" w14:paraId="41809524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47EE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429B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1699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C6F2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8426EA" w:rsidRPr="00FB6AC5" w14:paraId="58415F0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650A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0266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EF9D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3899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8426EA" w:rsidRPr="00FB6AC5" w14:paraId="58E01B48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8A50E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0E56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E4A3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Լ.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Ազգալդյանի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200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C0C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8426EA" w:rsidRPr="00FB6AC5" w14:paraId="6EA1086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3919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43D8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9DD7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Նավասարդյանի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854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Դավթաշեն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</w:p>
        </w:tc>
      </w:tr>
      <w:tr w:rsidR="008426EA" w:rsidRPr="00FB6AC5" w14:paraId="26B0659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D50E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5B25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6A5B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Լիսիցյանի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F501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38</w:t>
            </w:r>
          </w:p>
        </w:tc>
      </w:tr>
      <w:tr w:rsidR="008426EA" w:rsidRPr="00FB6AC5" w14:paraId="6840B299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50BAB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D8E7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F41E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Հարությունյանի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DAA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2/3</w:t>
            </w:r>
          </w:p>
        </w:tc>
      </w:tr>
      <w:tr w:rsidR="008426EA" w:rsidRPr="00FB6AC5" w14:paraId="423F071D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07C70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29AE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D249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E08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Խորենացի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207</w:t>
            </w:r>
          </w:p>
        </w:tc>
      </w:tr>
      <w:tr w:rsidR="008426EA" w:rsidRPr="00FB6AC5" w14:paraId="4E58404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0B13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C327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A1AF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92DA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Սարի-թաղ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28-րդ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8426EA" w:rsidRPr="00FB6AC5" w14:paraId="63FA274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7700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1ED9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4E8B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72B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Խաղաղ-Դոնի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25</w:t>
            </w:r>
          </w:p>
        </w:tc>
      </w:tr>
      <w:tr w:rsidR="008426EA" w:rsidRPr="00FB6AC5" w14:paraId="65A9540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1980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108B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7868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D30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Վարդաշեն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8426EA" w:rsidRPr="00FB6AC5" w14:paraId="202DE14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ABD36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97A7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BE36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Համբարձումյանի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946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78</w:t>
            </w:r>
          </w:p>
        </w:tc>
      </w:tr>
      <w:tr w:rsidR="008426EA" w:rsidRPr="00FB6AC5" w14:paraId="5C215455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940A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2464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ABB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Պ.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E85D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35-րդ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8426EA" w:rsidRPr="00FB6AC5" w14:paraId="3985504A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28CF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33E3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622C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1675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42</w:t>
            </w:r>
          </w:p>
        </w:tc>
      </w:tr>
      <w:tr w:rsidR="008426EA" w:rsidRPr="00FB6AC5" w14:paraId="38D3C9E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5F3C2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5414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240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Կարապենցի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942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Սասունցի-Դավթի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8426EA" w:rsidRPr="00FB6AC5" w14:paraId="1A8738A3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54576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68F9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F77E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05D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Ավանեսովի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8426EA" w:rsidRPr="00FB6AC5" w14:paraId="2398677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475B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3F52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0713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Գոգոլի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56F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16</w:t>
            </w:r>
          </w:p>
        </w:tc>
      </w:tr>
      <w:tr w:rsidR="008426EA" w:rsidRPr="00FB6AC5" w14:paraId="3149681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5389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99B5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9AE0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51BD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Նոր-Արեշ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8426EA" w:rsidRPr="00FB6AC5" w14:paraId="775D0BB1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E656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362F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2D0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</w:t>
            </w:r>
            <w:r w:rsidRPr="00FB6AC5">
              <w:rPr>
                <w:rFonts w:ascii="Cambria Math" w:hAnsi="Cambria Math" w:cs="Cambria Math"/>
                <w:color w:val="000000" w:themeColor="text1"/>
                <w:sz w:val="20"/>
                <w:szCs w:val="20"/>
              </w:rPr>
              <w:t>.</w:t>
            </w: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Բաղրամյանի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39 </w:t>
            </w:r>
            <w:r w:rsidRPr="00FB6AC5">
              <w:rPr>
                <w:rFonts w:ascii="GHEA Grapalat" w:hAnsi="GHEA Grapalat" w:cs="GHEA Grapalat"/>
                <w:color w:val="000000" w:themeColor="text1"/>
                <w:sz w:val="20"/>
                <w:szCs w:val="20"/>
              </w:rPr>
              <w:t>հ</w:t>
            </w: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1F47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Ծխախոտագործների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8426EA" w:rsidRPr="00FB6AC5" w14:paraId="11F46E4A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66C8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F42B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9E4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Է.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Թելմանի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61F8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Արշակունյաց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20</w:t>
            </w:r>
          </w:p>
        </w:tc>
      </w:tr>
      <w:tr w:rsidR="008426EA" w:rsidRPr="00FB6AC5" w14:paraId="27691CF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7C44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0D45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036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Իշխանի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27F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Բյուզանդի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107</w:t>
            </w:r>
          </w:p>
        </w:tc>
      </w:tr>
      <w:tr w:rsidR="008426EA" w:rsidRPr="00FB6AC5" w14:paraId="7CCB218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3164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5792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4E2D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Խրիմյան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Հայրիկի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F5C0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Չարենցի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75</w:t>
            </w:r>
          </w:p>
        </w:tc>
      </w:tr>
      <w:tr w:rsidR="008426EA" w:rsidRPr="00FB6AC5" w14:paraId="55932651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345B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5499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4880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Շահումյանի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38FD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Մաշտոցի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33</w:t>
            </w:r>
          </w:p>
        </w:tc>
      </w:tr>
      <w:tr w:rsidR="008426EA" w:rsidRPr="00FB6AC5" w14:paraId="565D99B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D622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08E9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C536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Նալբանդյանի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C15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Նար-Դոսի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38</w:t>
            </w:r>
          </w:p>
        </w:tc>
      </w:tr>
      <w:tr w:rsidR="008426EA" w:rsidRPr="00FB6AC5" w14:paraId="530DF41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EF864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C0F4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3402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Նար-Դոսի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01F4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Երվանդ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Քոչարի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12/1</w:t>
            </w:r>
          </w:p>
        </w:tc>
      </w:tr>
      <w:tr w:rsidR="008426EA" w:rsidRPr="00FB6AC5" w14:paraId="0CB7981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8E5E6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88B7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AFEB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Լ.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Շանթի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8BF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Ալեք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Մանուկյան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8426EA" w:rsidRPr="00FB6AC5" w14:paraId="6C260585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331C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783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A6D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Սպանդարյանի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A64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Պարոնյան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8426EA" w:rsidRPr="00FB6AC5" w14:paraId="4B5B0DC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EAD77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1624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52D6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Խանջյանի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341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Տիգրան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Մեծի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26ա</w:t>
            </w:r>
          </w:p>
        </w:tc>
      </w:tr>
      <w:tr w:rsidR="008426EA" w:rsidRPr="00FB6AC5" w14:paraId="70FAF191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BA16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C6CD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7A44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Խ.Աբովյանի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ՀՊՄՀ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հենակետային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336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Վրացյան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75</w:t>
            </w:r>
          </w:p>
        </w:tc>
      </w:tr>
      <w:tr w:rsidR="008426EA" w:rsidRPr="00FB6AC5" w14:paraId="35B01C9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2460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477C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4820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Վաղարշյանի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C69B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Իսակովի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2/1</w:t>
            </w:r>
          </w:p>
        </w:tc>
      </w:tr>
      <w:tr w:rsidR="008426EA" w:rsidRPr="00FB6AC5" w14:paraId="2866D94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E262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D9F2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01F1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Ե.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Չարենցի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5B9D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Ամիրյան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8426EA" w:rsidRPr="00FB6AC5" w14:paraId="4560936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940FF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F3AD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06F5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Ջ.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Կիրակոսյանի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D444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Չայլախյան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4ա</w:t>
            </w:r>
          </w:p>
        </w:tc>
      </w:tr>
      <w:tr w:rsidR="008426EA" w:rsidRPr="00FB6AC5" w14:paraId="0B3DE5A8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2F6A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D85F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A178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Ն.Ստեփանյանի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536A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Հանրապետության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72</w:t>
            </w:r>
          </w:p>
        </w:tc>
      </w:tr>
      <w:tr w:rsidR="008426EA" w:rsidRPr="00FB6AC5" w14:paraId="3A95624B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01AB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E09F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2267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Խ.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Աբովյանի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BAC1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Իսահակյան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30</w:t>
            </w:r>
          </w:p>
        </w:tc>
      </w:tr>
      <w:tr w:rsidR="008426EA" w:rsidRPr="00FB6AC5" w14:paraId="3DC39289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8A7B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71AD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D20D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Մայակովսկու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B7A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Լուսավորչի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</w:t>
            </w:r>
          </w:p>
        </w:tc>
      </w:tr>
      <w:tr w:rsidR="008426EA" w:rsidRPr="00FB6AC5" w14:paraId="6C0104FD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96312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A601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50ED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Չեխովի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67E8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Բաղրամյան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16</w:t>
            </w:r>
          </w:p>
        </w:tc>
      </w:tr>
      <w:tr w:rsidR="008426EA" w:rsidRPr="00FB6AC5" w14:paraId="0145DB8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95917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BB8E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0240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Պուշկինի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9C7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Մոսկովյան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17</w:t>
            </w:r>
          </w:p>
        </w:tc>
      </w:tr>
      <w:tr w:rsidR="008426EA" w:rsidRPr="00FB6AC5" w14:paraId="1B5FA6D5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42F52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8561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BE57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Աղբալյանի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946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Տերյան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54</w:t>
            </w:r>
          </w:p>
        </w:tc>
      </w:tr>
      <w:tr w:rsidR="008426EA" w:rsidRPr="00FB6AC5" w14:paraId="69D16E0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FFF70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73F2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EC8B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6A62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</w:p>
        </w:tc>
      </w:tr>
      <w:tr w:rsidR="008426EA" w:rsidRPr="00FB6AC5" w14:paraId="7D9E198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75E08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43FF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5B54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200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Ծերենցի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72ա</w:t>
            </w:r>
          </w:p>
        </w:tc>
      </w:tr>
      <w:tr w:rsidR="008426EA" w:rsidRPr="00FB6AC5" w14:paraId="634CE6E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58B2F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966C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814C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ՀՀ ԿԳՄՍՆ «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Մխիթար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Սեբաստացի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կրթահամալիր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միջին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դպրոց</w:t>
            </w:r>
            <w:proofErr w:type="spellEnd"/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797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Իսակովի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52/6,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Բաբաջանյան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25</w:t>
            </w:r>
          </w:p>
        </w:tc>
      </w:tr>
      <w:tr w:rsidR="008426EA" w:rsidRPr="00FB6AC5" w14:paraId="5B95D5A4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1FEE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CFAD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F43B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Է.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Բոյաջյանի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E11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Տիչինայի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 121</w:t>
            </w:r>
          </w:p>
        </w:tc>
      </w:tr>
      <w:tr w:rsidR="008426EA" w:rsidRPr="00FB6AC5" w14:paraId="352B60AA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1EDD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D1A5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8EE1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20A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Օհանով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72</w:t>
            </w:r>
          </w:p>
        </w:tc>
      </w:tr>
      <w:tr w:rsidR="008426EA" w:rsidRPr="00FB6AC5" w14:paraId="3198521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823DC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4A16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127F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6FB0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</w:p>
        </w:tc>
      </w:tr>
      <w:tr w:rsidR="008426EA" w:rsidRPr="00FB6AC5" w14:paraId="1D67A28D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3334C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3C1C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CC61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Զատիկյանի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CE1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Վանթյան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43</w:t>
            </w:r>
          </w:p>
        </w:tc>
      </w:tr>
      <w:tr w:rsidR="008426EA" w:rsidRPr="00FB6AC5" w14:paraId="3737E7E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3AC4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5DED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2A1E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Դ.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A76B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83</w:t>
            </w:r>
          </w:p>
        </w:tc>
      </w:tr>
      <w:tr w:rsidR="008426EA" w:rsidRPr="00FB6AC5" w14:paraId="0350CEC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8319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3D2F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1F91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Մահարու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CF43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Հովնաթանի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33</w:t>
            </w:r>
          </w:p>
        </w:tc>
      </w:tr>
      <w:tr w:rsidR="008426EA" w:rsidRPr="00FB6AC5" w14:paraId="5F3F1ED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85226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450B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8CC2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CC7F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8426EA" w:rsidRPr="00FB6AC5" w14:paraId="764DFA0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0454E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F713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7277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F96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Սվաճյան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42</w:t>
            </w:r>
          </w:p>
        </w:tc>
      </w:tr>
      <w:tr w:rsidR="008426EA" w:rsidRPr="00FB6AC5" w14:paraId="1E3B0F6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CDABF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097E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0031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Դ.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Վարուժանի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4179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Սեբաստիա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19</w:t>
            </w:r>
          </w:p>
        </w:tc>
      </w:tr>
      <w:tr w:rsidR="008426EA" w:rsidRPr="00FB6AC5" w14:paraId="6359CC0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B61D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5A3D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B391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Մելքոնյանի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8D90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Հ/Ա Բ2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Անդրանիկի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</w:p>
        </w:tc>
      </w:tr>
      <w:tr w:rsidR="008426EA" w:rsidRPr="00FB6AC5" w14:paraId="6CB4A38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64D5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1E00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CCCE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CA72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Բաբաջանյան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8426EA" w:rsidRPr="00FB6AC5" w14:paraId="798FFE9D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3877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14E2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F16A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Մաթևոսյանի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546F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 24</w:t>
            </w:r>
          </w:p>
        </w:tc>
      </w:tr>
      <w:tr w:rsidR="008426EA" w:rsidRPr="00FB6AC5" w14:paraId="50F2E881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7D68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DF5C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7D8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Գուրզադյանի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ABB5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Նոր-Նորքի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Գյուրջյան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8426EA" w:rsidRPr="00FB6AC5" w14:paraId="6EE91115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E7150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DDB26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0DC1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9E8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Գյուլիքևխյան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27</w:t>
            </w:r>
          </w:p>
        </w:tc>
      </w:tr>
      <w:tr w:rsidR="008426EA" w:rsidRPr="00FB6AC5" w14:paraId="0A32B2A3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386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CD4D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E938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5DD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Նանսենի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14</w:t>
            </w:r>
          </w:p>
        </w:tc>
      </w:tr>
      <w:tr w:rsidR="008426EA" w:rsidRPr="00FB6AC5" w14:paraId="42CDC361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BCD2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A95B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E053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Ադդարյանի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BCFC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Մոլդովական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35</w:t>
            </w:r>
          </w:p>
        </w:tc>
      </w:tr>
      <w:tr w:rsidR="008426EA" w:rsidRPr="00FB6AC5" w14:paraId="4FE458E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CD36C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B7FA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C2FC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Խորենացու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1116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Բաղյան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8426EA" w:rsidRPr="00FB6AC5" w14:paraId="095BAC6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348020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4010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916C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Յ.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Լեփսիուսի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CB7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Կարախանյան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8426EA" w:rsidRPr="00FB6AC5" w14:paraId="3A657AAB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0E885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503A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995C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Սաֆարյանի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B08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Թոթովենցիփողոց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7</w:t>
            </w:r>
          </w:p>
        </w:tc>
      </w:tr>
      <w:tr w:rsidR="008426EA" w:rsidRPr="00FB6AC5" w14:paraId="588D594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FD87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08F7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BDB0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FB5C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8-րդ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Մինսկի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95</w:t>
            </w:r>
          </w:p>
        </w:tc>
      </w:tr>
      <w:tr w:rsidR="008426EA" w:rsidRPr="00FB6AC5" w14:paraId="11AFB34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6C54C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BB98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9E78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Ֆ.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Նանսենի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24A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4-րդ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1-ին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հատված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Բակունցի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6</w:t>
            </w:r>
          </w:p>
        </w:tc>
      </w:tr>
      <w:tr w:rsidR="008426EA" w:rsidRPr="00FB6AC5" w14:paraId="7345312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7D67A3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FD9E9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9366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Վարդանանց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ասպետներ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»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244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Նանսենի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8426EA" w:rsidRPr="00FB6AC5" w14:paraId="2AA47BF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B9230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4205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A835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197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CE47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9-րդ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Վիլնյուսի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</w:p>
        </w:tc>
      </w:tr>
      <w:tr w:rsidR="008426EA" w:rsidRPr="00FB6AC5" w14:paraId="1E066074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5C147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479E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4E30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Միկոյանի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6E4D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Ն/Ն 5-րդ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զանգված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Մառի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</w:t>
            </w:r>
          </w:p>
        </w:tc>
      </w:tr>
      <w:tr w:rsidR="008426EA" w:rsidRPr="00FB6AC5" w14:paraId="1F48DE3A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AF1323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E0D1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A04D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Ստեփանյանի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8E79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Ստեփանյան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8426EA" w:rsidRPr="00FB6AC5" w14:paraId="39C14BF3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2192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BF55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Մարաշ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ED97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Արմենակյանի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9E7E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51</w:t>
            </w:r>
          </w:p>
        </w:tc>
      </w:tr>
      <w:tr w:rsidR="008426EA" w:rsidRPr="00FB6AC5" w14:paraId="22515BB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B7F5F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22E0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Մարաշ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CF6E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910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Նորք-Մարաշ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 62</w:t>
            </w:r>
          </w:p>
        </w:tc>
      </w:tr>
      <w:tr w:rsidR="008426EA" w:rsidRPr="00FB6AC5" w14:paraId="18F8FA5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94E75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3AE7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Մարաշ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86AB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Արգիշտի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Առաջին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արքայի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61 h/դ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2A88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91</w:t>
            </w:r>
          </w:p>
        </w:tc>
      </w:tr>
      <w:tr w:rsidR="008426EA" w:rsidRPr="00FB6AC5" w14:paraId="30AD39A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9DD7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2C91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A736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A7F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Սողոմոն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Տարոնցի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8426EA" w:rsidRPr="00FB6AC5" w14:paraId="78A133E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A42E5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502A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310F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DB7C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Վերին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8426EA" w:rsidRPr="00FB6AC5" w14:paraId="62E29FD3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0E54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D63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E0A3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AA5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Շևչենկո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34/1</w:t>
            </w:r>
          </w:p>
        </w:tc>
      </w:tr>
      <w:tr w:rsidR="008426EA" w:rsidRPr="00FB6AC5" w14:paraId="0A353D9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A41C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A979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6079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261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</w:t>
            </w:r>
          </w:p>
        </w:tc>
      </w:tr>
      <w:tr w:rsidR="008426EA" w:rsidRPr="00FB6AC5" w14:paraId="4C49492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784CC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E448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97AE4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Թումանյանի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5E5B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132</w:t>
            </w:r>
          </w:p>
        </w:tc>
      </w:tr>
      <w:tr w:rsidR="008426EA" w:rsidRPr="00FB6AC5" w14:paraId="06A49A3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7800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7953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41E7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Վարդևանյանի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173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CF7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Հովսեփյան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8426EA" w:rsidRPr="00FB6AC5" w14:paraId="2B7A4998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2053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B0E4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8EC86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140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BDE4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99</w:t>
            </w:r>
          </w:p>
        </w:tc>
      </w:tr>
      <w:tr w:rsidR="008426EA" w:rsidRPr="00FB6AC5" w14:paraId="6C36603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607D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8733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9CFB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702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8426EA" w:rsidRPr="00FB6AC5" w14:paraId="630F885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E19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9718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5959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Մուրացանի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7E52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32</w:t>
            </w:r>
          </w:p>
        </w:tc>
      </w:tr>
      <w:tr w:rsidR="008426EA" w:rsidRPr="00FB6AC5" w14:paraId="77D0645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F97F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6282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EAA2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Դ.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Դեմիրճյանի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28B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Արտաշիսյան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52</w:t>
            </w:r>
          </w:p>
        </w:tc>
      </w:tr>
      <w:tr w:rsidR="008426EA" w:rsidRPr="00FB6AC5" w14:paraId="4A15ACD3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76855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A33D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4547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Ջանբազյանի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A29E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30</w:t>
            </w:r>
          </w:p>
        </w:tc>
      </w:tr>
      <w:tr w:rsidR="008426EA" w:rsidRPr="00FB6AC5" w14:paraId="2ABD7BA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3FFE2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C43C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1692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D10E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Նորագավիթ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97</w:t>
            </w:r>
          </w:p>
        </w:tc>
      </w:tr>
      <w:tr w:rsidR="008426EA" w:rsidRPr="00FB6AC5" w14:paraId="5A93C5D4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D8F82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73FE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B33F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Հովհաննիսյանի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4992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</w:t>
            </w:r>
          </w:p>
        </w:tc>
      </w:tr>
      <w:tr w:rsidR="008426EA" w:rsidRPr="00FB6AC5" w14:paraId="3FBF010B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9485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9ABF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6112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Հ.Ավետիսյանի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74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C950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23</w:t>
            </w:r>
          </w:p>
        </w:tc>
      </w:tr>
      <w:tr w:rsidR="008426EA" w:rsidRPr="00FB6AC5" w14:paraId="274F96F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7DD5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3EE8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1D42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Շիրազի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3ED3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19</w:t>
            </w:r>
          </w:p>
        </w:tc>
      </w:tr>
      <w:tr w:rsidR="008426EA" w:rsidRPr="00FB6AC5" w14:paraId="0B18D08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0637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4BA3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90F6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Մյասնիկյանի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66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7F9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8426EA" w:rsidRPr="00FB6AC5" w14:paraId="56C5DD5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36FA7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F398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DC98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161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A0F3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Բագրատունյաց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32/1</w:t>
            </w:r>
          </w:p>
        </w:tc>
      </w:tr>
      <w:tr w:rsidR="008426EA" w:rsidRPr="00FB6AC5" w14:paraId="55A693CB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9F759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304E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EBC7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Գորգիսյանի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04EA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Շիրակի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5</w:t>
            </w:r>
          </w:p>
        </w:tc>
      </w:tr>
      <w:tr w:rsidR="008426EA" w:rsidRPr="00FB6AC5" w14:paraId="3C8019C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0A9E3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24CD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9E8B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154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242F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Ֆրունզեի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</w:t>
            </w:r>
          </w:p>
        </w:tc>
      </w:tr>
      <w:tr w:rsidR="008426EA" w:rsidRPr="00FB6AC5" w14:paraId="5A60C87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ADB64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F3FD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174B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Սախարովի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6BD1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Արարատյան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26</w:t>
            </w:r>
          </w:p>
        </w:tc>
      </w:tr>
      <w:tr w:rsidR="008426EA" w:rsidRPr="00FB6AC5" w14:paraId="40B1A52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73E0B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40A6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00C8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Գ.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Նարեկացու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D5B3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Տարոնցի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17</w:t>
            </w:r>
          </w:p>
        </w:tc>
      </w:tr>
      <w:tr w:rsidR="008426EA" w:rsidRPr="00FB6AC5" w14:paraId="4E5E2B91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97DE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0756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543A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Բելինսկու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0C62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22</w:t>
            </w:r>
          </w:p>
        </w:tc>
      </w:tr>
      <w:tr w:rsidR="008426EA" w:rsidRPr="00FB6AC5" w14:paraId="2F116A4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A4760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0DE5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F108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Վ.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Համբարձումյանի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A62E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Գարեգին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Նժդեհի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8426EA" w:rsidRPr="00FB6AC5" w14:paraId="4CD2861D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5D86A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C391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623D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59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A6AD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Վարշավյան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45</w:t>
            </w:r>
          </w:p>
        </w:tc>
      </w:tr>
      <w:tr w:rsidR="008426EA" w:rsidRPr="00FB6AC5" w14:paraId="6F9055B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FDA9B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3E82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4BEA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Կ.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Զարյանի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37DD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Ֆանարջյան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15</w:t>
            </w:r>
          </w:p>
        </w:tc>
      </w:tr>
      <w:tr w:rsidR="008426EA" w:rsidRPr="00FB6AC5" w14:paraId="5E4ECD6C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5EE08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96F9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9CC2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Հ.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Դինքի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A53D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Ավետիսյանի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89</w:t>
            </w:r>
          </w:p>
        </w:tc>
      </w:tr>
      <w:tr w:rsidR="008426EA" w:rsidRPr="00FB6AC5" w14:paraId="204C888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B872D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D72C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94DA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Մանուշյանի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48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4E83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Դրոյի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11</w:t>
            </w:r>
          </w:p>
        </w:tc>
      </w:tr>
      <w:tr w:rsidR="008426EA" w:rsidRPr="00FB6AC5" w14:paraId="06730438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F6084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672E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2142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147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C040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Ուլնեցու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8426EA" w:rsidRPr="00FB6AC5" w14:paraId="21C20B54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5880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F2F8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0465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Խ.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Աբովյանի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84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70C5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Սարգսյան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1/5 </w:t>
            </w:r>
          </w:p>
        </w:tc>
      </w:tr>
      <w:tr w:rsidR="008426EA" w:rsidRPr="00FB6AC5" w14:paraId="20448DF9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94A31" w14:textId="77777777" w:rsidR="008426EA" w:rsidRPr="00FB6AC5" w:rsidRDefault="008426EA" w:rsidP="008E4742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007E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B008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Ս.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Բյուրատի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125 հ/դ</w:t>
            </w:r>
          </w:p>
        </w:tc>
        <w:tc>
          <w:tcPr>
            <w:tcW w:w="1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11BC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Պարույր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Սևակի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89</w:t>
            </w:r>
          </w:p>
        </w:tc>
      </w:tr>
      <w:tr w:rsidR="008426EA" w:rsidRPr="00FB6AC5" w14:paraId="0DFB8B86" w14:textId="77777777" w:rsidTr="008E4742">
        <w:trPr>
          <w:trHeight w:val="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</w:tcPr>
          <w:p w14:paraId="01073EA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Միջնակարգ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դպրոցներ</w:t>
            </w:r>
            <w:proofErr w:type="spellEnd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՝ 20-աշակերտ </w:t>
            </w:r>
            <w:proofErr w:type="spellStart"/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խտությամբ</w:t>
            </w:r>
            <w:proofErr w:type="spellEnd"/>
          </w:p>
        </w:tc>
      </w:tr>
      <w:tr w:rsidR="008426EA" w:rsidRPr="00FB6AC5" w14:paraId="0C53167B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45B04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4646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Աջափնյակ</w:t>
            </w:r>
            <w:proofErr w:type="spellEnd"/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CC7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108 մ/դ</w:t>
            </w:r>
          </w:p>
        </w:tc>
        <w:tc>
          <w:tcPr>
            <w:tcW w:w="1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634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Սիլիկյան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10</w:t>
            </w:r>
          </w:p>
        </w:tc>
      </w:tr>
      <w:tr w:rsidR="008426EA" w:rsidRPr="00FB6AC5" w14:paraId="1A496CE5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2252D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92DE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Ավան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2C8B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BE1FC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Խուդյակովի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44</w:t>
            </w:r>
          </w:p>
        </w:tc>
      </w:tr>
      <w:tr w:rsidR="008426EA" w:rsidRPr="00FB6AC5" w14:paraId="7E99E4B2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359B2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4C69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Դավիթաշեն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3B99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Մանուկյանի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4BAA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5-րդ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</w:p>
        </w:tc>
      </w:tr>
      <w:tr w:rsidR="008426EA" w:rsidRPr="00FB6AC5" w14:paraId="0D86A6F1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771CE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5D076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B3CF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101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EEAE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Մուշական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6-րդ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29 </w:t>
            </w:r>
          </w:p>
        </w:tc>
      </w:tr>
      <w:tr w:rsidR="008426EA" w:rsidRPr="00FB6AC5" w14:paraId="3473367D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2B2B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7CC4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416A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107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269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Ջրաշենի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1-ին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41</w:t>
            </w:r>
          </w:p>
        </w:tc>
      </w:tr>
      <w:tr w:rsidR="008426EA" w:rsidRPr="00FB6AC5" w14:paraId="7763778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E25C3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B873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Էրեբունի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E95C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Խ.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Սամուելյանի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47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D75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5-րդ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67</w:t>
            </w:r>
          </w:p>
        </w:tc>
      </w:tr>
      <w:tr w:rsidR="008426EA" w:rsidRPr="00FB6AC5" w14:paraId="067835C3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D5C19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2EDD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B4B3D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13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երաժշտական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մասնագիտացված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23FD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Ծովակալ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Իսակովի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13</w:t>
            </w:r>
          </w:p>
        </w:tc>
      </w:tr>
      <w:tr w:rsidR="008426EA" w:rsidRPr="00FB6AC5" w14:paraId="024F831E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329B8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4544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Կենտրոն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313B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Պ.Չայկովսկու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մասնագիտացված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85C7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Կողբացի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36</w:t>
            </w:r>
          </w:p>
        </w:tc>
      </w:tr>
      <w:tr w:rsidR="008426EA" w:rsidRPr="00FB6AC5" w14:paraId="01F932FF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5D97C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53DB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Մալաթիա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E8EB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Ն.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Խաչատրյանի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113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6FE5E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Հաղթանակ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թաղամս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6-րդ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51 </w:t>
            </w:r>
          </w:p>
        </w:tc>
      </w:tr>
      <w:tr w:rsidR="008426EA" w:rsidRPr="00FB6AC5" w14:paraId="12254468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601C1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2DE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Նորք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3806F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187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2FEC8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Ջրվեժ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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Մայակ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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թաղամաս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30/1</w:t>
            </w:r>
          </w:p>
        </w:tc>
      </w:tr>
      <w:tr w:rsidR="008426EA" w:rsidRPr="00FB6AC5" w14:paraId="0DB8E52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E0619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CCF6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CEEC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175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1B5D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11-րդ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հ 2</w:t>
            </w:r>
          </w:p>
        </w:tc>
      </w:tr>
      <w:tr w:rsidR="008426EA" w:rsidRPr="00FB6AC5" w14:paraId="37E86E00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ABA12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0F5E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Նուբարաշեն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706C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Ղ.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Ալիշանի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95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A71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13-րդ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, 1 </w:t>
            </w:r>
          </w:p>
        </w:tc>
      </w:tr>
      <w:tr w:rsidR="008426EA" w:rsidRPr="00FB6AC5" w14:paraId="74B1D087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0D7A1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D2F53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Շենգավիթ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D7C7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թիվ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99 մ/դ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C97A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Ներքին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Չարբախ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3-րդ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</w:t>
            </w:r>
          </w:p>
        </w:tc>
      </w:tr>
      <w:tr w:rsidR="008426EA" w:rsidRPr="00FB6AC5" w14:paraId="3ECDC9FB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9D176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596F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7DB900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Հայ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չինական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բարեկամության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դպրոց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Վարժարան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F4097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Սարկավագի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14</w:t>
            </w:r>
          </w:p>
        </w:tc>
      </w:tr>
      <w:tr w:rsidR="008426EA" w:rsidRPr="00FB6AC5" w14:paraId="4DAC3E99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A75F3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BEE54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  <w:lang w:val="hy-AM"/>
              </w:rPr>
              <w:t xml:space="preserve">Երևան/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Քանաքեռ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-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Զեյթուն</w:t>
            </w:r>
            <w:proofErr w:type="spellEnd"/>
          </w:p>
        </w:tc>
        <w:tc>
          <w:tcPr>
            <w:tcW w:w="2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2DA85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Երևանի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Ա.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Շահինյանի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ֆիզիկամաթեմատիկական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մասնագիտացված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դպրոց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/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Վարժարան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15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5D72A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Ազատության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պողոտա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 xml:space="preserve"> 2-րդ </w:t>
            </w:r>
            <w:proofErr w:type="spellStart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նրբանցք</w:t>
            </w:r>
            <w:proofErr w:type="spellEnd"/>
            <w:r w:rsidRPr="00FB6AC5">
              <w:rPr>
                <w:rFonts w:ascii="GHEA Grapalat" w:hAnsi="GHEA Grapalat" w:cs="Arial"/>
                <w:color w:val="000000" w:themeColor="text1"/>
                <w:sz w:val="20"/>
                <w:szCs w:val="20"/>
              </w:rPr>
              <w:t>, 9</w:t>
            </w:r>
          </w:p>
        </w:tc>
      </w:tr>
      <w:tr w:rsidR="008426EA" w:rsidRPr="00FB6AC5" w14:paraId="06E66E06" w14:textId="77777777" w:rsidTr="008E4742">
        <w:trPr>
          <w:trHeight w:val="8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A5357" w14:textId="77777777" w:rsidR="008426EA" w:rsidRPr="00FB6AC5" w:rsidRDefault="008426EA" w:rsidP="008E4742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C0FB1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Դիլիջան</w:t>
            </w:r>
            <w:proofErr w:type="spellEnd"/>
          </w:p>
        </w:tc>
        <w:tc>
          <w:tcPr>
            <w:tcW w:w="21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2C009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ք.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Դիլիջանի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«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Մոնթե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Մելքոնյանի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անվան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ռազմամարզական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վարժարան</w:t>
            </w:r>
            <w:proofErr w:type="spellEnd"/>
            <w:r w:rsidRPr="00FB6AC5">
              <w:rPr>
                <w:rFonts w:ascii="GHEA Grapalat" w:hAnsi="GHEA Grapalat" w:cs="Arial"/>
                <w:bCs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DDEBB" w14:textId="77777777" w:rsidR="008426EA" w:rsidRPr="00FB6AC5" w:rsidRDefault="008426EA" w:rsidP="008E4742">
            <w:pPr>
              <w:spacing w:after="0" w:line="240" w:lineRule="auto"/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Պարզ</w:t>
            </w:r>
            <w:proofErr w:type="spellEnd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լիճ</w:t>
            </w:r>
            <w:proofErr w:type="spellEnd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փողոց</w:t>
            </w:r>
            <w:proofErr w:type="spellEnd"/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</w:rPr>
              <w:t>, 5</w:t>
            </w:r>
            <w:r w:rsidRPr="00FB6AC5">
              <w:rPr>
                <w:rFonts w:ascii="GHEA Grapalat" w:hAnsi="GHEA Grapalat" w:cs="Calibri"/>
                <w:bCs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r w:rsidRPr="00FB6AC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/Տավուշի մարզ/</w:t>
            </w:r>
          </w:p>
        </w:tc>
      </w:tr>
    </w:tbl>
    <w:p w14:paraId="764B2DC7" w14:textId="77777777" w:rsidR="00E876F3" w:rsidRPr="00FB6AC5" w:rsidRDefault="00E876F3" w:rsidP="00E876F3">
      <w:pPr>
        <w:spacing w:after="0"/>
        <w:ind w:left="576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6F42886C" w14:textId="77777777" w:rsidR="00E876F3" w:rsidRPr="00FB6AC5" w:rsidRDefault="00E876F3" w:rsidP="00E876F3">
      <w:pPr>
        <w:spacing w:line="240" w:lineRule="auto"/>
        <w:ind w:right="19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  <w:sectPr w:rsidR="00E876F3" w:rsidRPr="00FB6AC5" w:rsidSect="002D6563">
          <w:pgSz w:w="12240" w:h="15840"/>
          <w:pgMar w:top="568" w:right="539" w:bottom="992" w:left="448" w:header="720" w:footer="720" w:gutter="0"/>
          <w:cols w:space="720"/>
          <w:docGrid w:linePitch="360"/>
        </w:sectPr>
      </w:pPr>
      <w:bookmarkStart w:id="5" w:name="_Hlk203478821"/>
    </w:p>
    <w:bookmarkEnd w:id="5"/>
    <w:p w14:paraId="2805FD8C" w14:textId="77777777" w:rsidR="00E876F3" w:rsidRPr="00FB6AC5" w:rsidRDefault="00E876F3" w:rsidP="00E876F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2B2D5B01" w14:textId="77777777" w:rsidR="00A344E6" w:rsidRPr="00FB6AC5" w:rsidRDefault="00A344E6" w:rsidP="00A344E6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1FD64666" w14:textId="77777777" w:rsidR="00A344E6" w:rsidRPr="00FB6AC5" w:rsidRDefault="00A344E6" w:rsidP="00A344E6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p w14:paraId="34B02431" w14:textId="77777777" w:rsidR="008426EA" w:rsidRPr="00FB6AC5" w:rsidRDefault="008426EA" w:rsidP="008426EA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  <w:r w:rsidRPr="00FB6AC5">
        <w:rPr>
          <w:rFonts w:ascii="GHEA Grapalat" w:hAnsi="GHEA Grapalat" w:cs="Sylfaen"/>
          <w:b/>
          <w:color w:val="000000" w:themeColor="text1"/>
          <w:lang w:val="hy-AM"/>
        </w:rPr>
        <w:t>ՎՃԱՐՄԱՆ</w:t>
      </w:r>
      <w:r w:rsidRPr="00FB6AC5">
        <w:rPr>
          <w:rFonts w:ascii="GHEA Grapalat" w:hAnsi="GHEA Grapalat" w:cs="Sylfaen"/>
          <w:b/>
          <w:color w:val="000000" w:themeColor="text1"/>
          <w:lang w:val="pt-BR"/>
        </w:rPr>
        <w:t xml:space="preserve"> </w:t>
      </w:r>
      <w:r w:rsidRPr="00FB6AC5">
        <w:rPr>
          <w:rFonts w:ascii="GHEA Grapalat" w:hAnsi="GHEA Grapalat" w:cs="Sylfaen"/>
          <w:b/>
          <w:color w:val="000000" w:themeColor="text1"/>
          <w:lang w:val="hy-AM"/>
        </w:rPr>
        <w:t>ԺԱՄԱՆԱԿԱՑՈՒՅՑ</w:t>
      </w:r>
    </w:p>
    <w:p w14:paraId="64693FF1" w14:textId="77777777" w:rsidR="008426EA" w:rsidRPr="00FB6AC5" w:rsidRDefault="008426EA" w:rsidP="008426EA">
      <w:pPr>
        <w:spacing w:after="0" w:line="240" w:lineRule="auto"/>
        <w:ind w:left="-709" w:right="-79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6" w:name="_Hlk119408073"/>
      <w:r w:rsidRPr="00FB6AC5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FB6AC5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FB6AC5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34C70014" w14:textId="77777777" w:rsidR="008426EA" w:rsidRPr="00FB6AC5" w:rsidRDefault="008426EA" w:rsidP="008426EA">
      <w:pPr>
        <w:spacing w:after="0" w:line="240" w:lineRule="auto"/>
        <w:ind w:left="-709" w:right="-79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FB6AC5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515ADEF3" w14:textId="77777777" w:rsidR="008426EA" w:rsidRPr="00FB6AC5" w:rsidRDefault="008426EA" w:rsidP="008426EA">
      <w:pPr>
        <w:spacing w:after="0" w:line="240" w:lineRule="auto"/>
        <w:ind w:left="-709" w:right="-79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FB6AC5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2627E865" w14:textId="77777777" w:rsidR="008426EA" w:rsidRPr="00FB6AC5" w:rsidRDefault="008426EA" w:rsidP="008426EA">
      <w:pPr>
        <w:spacing w:after="0" w:line="240" w:lineRule="auto"/>
        <w:ind w:left="-709" w:right="-79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FB6AC5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6"/>
    </w:p>
    <w:p w14:paraId="640B358B" w14:textId="77777777" w:rsidR="008426EA" w:rsidRPr="00FB6AC5" w:rsidRDefault="008426EA" w:rsidP="008426EA">
      <w:pPr>
        <w:spacing w:after="0" w:line="240" w:lineRule="auto"/>
        <w:ind w:left="-90" w:right="-18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FB6AC5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ՀՀ </w:t>
      </w:r>
      <w:proofErr w:type="spellStart"/>
      <w:r w:rsidRPr="00FB6AC5">
        <w:rPr>
          <w:rFonts w:ascii="GHEA Grapalat" w:hAnsi="GHEA Grapalat" w:cs="Times New Roman"/>
          <w:color w:val="000000" w:themeColor="text1"/>
          <w:sz w:val="20"/>
          <w:szCs w:val="20"/>
        </w:rPr>
        <w:t>դրամ</w:t>
      </w:r>
      <w:proofErr w:type="spellEnd"/>
    </w:p>
    <w:tbl>
      <w:tblPr>
        <w:tblpPr w:leftFromText="180" w:rightFromText="180" w:vertAnchor="text" w:horzAnchor="margin" w:tblpXSpec="center" w:tblpY="51"/>
        <w:tblOverlap w:val="never"/>
        <w:tblW w:w="14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283"/>
        <w:gridCol w:w="3352"/>
        <w:gridCol w:w="708"/>
        <w:gridCol w:w="1134"/>
        <w:gridCol w:w="284"/>
        <w:gridCol w:w="425"/>
        <w:gridCol w:w="425"/>
        <w:gridCol w:w="426"/>
        <w:gridCol w:w="425"/>
        <w:gridCol w:w="425"/>
        <w:gridCol w:w="567"/>
        <w:gridCol w:w="567"/>
        <w:gridCol w:w="425"/>
        <w:gridCol w:w="426"/>
        <w:gridCol w:w="425"/>
        <w:gridCol w:w="567"/>
        <w:gridCol w:w="1096"/>
        <w:gridCol w:w="12"/>
      </w:tblGrid>
      <w:tr w:rsidR="008426EA" w:rsidRPr="00FB6AC5" w14:paraId="56BB0985" w14:textId="77777777" w:rsidTr="008E4742">
        <w:trPr>
          <w:trHeight w:val="91"/>
        </w:trPr>
        <w:tc>
          <w:tcPr>
            <w:tcW w:w="14541" w:type="dxa"/>
            <w:gridSpan w:val="19"/>
            <w:vAlign w:val="center"/>
          </w:tcPr>
          <w:p w14:paraId="1D1200F2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Ապրանքի</w:t>
            </w:r>
            <w:proofErr w:type="spellEnd"/>
          </w:p>
        </w:tc>
      </w:tr>
      <w:tr w:rsidR="008426EA" w:rsidRPr="00FB6AC5" w14:paraId="546FCC13" w14:textId="77777777" w:rsidTr="008E4742">
        <w:trPr>
          <w:trHeight w:val="91"/>
        </w:trPr>
        <w:tc>
          <w:tcPr>
            <w:tcW w:w="569" w:type="dxa"/>
            <w:vMerge w:val="restart"/>
            <w:vAlign w:val="center"/>
            <w:hideMark/>
          </w:tcPr>
          <w:p w14:paraId="606929B4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2283" w:type="dxa"/>
            <w:vMerge w:val="restart"/>
            <w:vAlign w:val="center"/>
            <w:hideMark/>
          </w:tcPr>
          <w:p w14:paraId="3D71B7EE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ԳՄԱ</w:t>
            </w: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br/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  <w:proofErr w:type="spellEnd"/>
          </w:p>
        </w:tc>
        <w:tc>
          <w:tcPr>
            <w:tcW w:w="3352" w:type="dxa"/>
            <w:vMerge w:val="restart"/>
            <w:vAlign w:val="center"/>
          </w:tcPr>
          <w:p w14:paraId="4EAA019F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Անվանումը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vMerge w:val="restart"/>
            <w:vAlign w:val="center"/>
            <w:hideMark/>
          </w:tcPr>
          <w:p w14:paraId="6B0D1AA2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Չ/մ</w:t>
            </w:r>
          </w:p>
        </w:tc>
        <w:tc>
          <w:tcPr>
            <w:tcW w:w="1134" w:type="dxa"/>
            <w:vMerge w:val="restart"/>
            <w:vAlign w:val="center"/>
            <w:hideMark/>
          </w:tcPr>
          <w:p w14:paraId="70C3ABF0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քանակը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495" w:type="dxa"/>
            <w:gridSpan w:val="14"/>
            <w:vAlign w:val="center"/>
          </w:tcPr>
          <w:p w14:paraId="1DA81664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նախատեսվում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է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իրականացնել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20_թ-ին`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ամիսների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,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այդ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թվում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՝</w:t>
            </w:r>
          </w:p>
        </w:tc>
      </w:tr>
      <w:tr w:rsidR="008426EA" w:rsidRPr="00FB6AC5" w14:paraId="48023477" w14:textId="77777777" w:rsidTr="008E4742">
        <w:trPr>
          <w:gridAfter w:val="1"/>
          <w:wAfter w:w="12" w:type="dxa"/>
          <w:trHeight w:val="83"/>
        </w:trPr>
        <w:tc>
          <w:tcPr>
            <w:tcW w:w="569" w:type="dxa"/>
            <w:vMerge/>
            <w:vAlign w:val="center"/>
            <w:hideMark/>
          </w:tcPr>
          <w:p w14:paraId="5FF4D542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2283" w:type="dxa"/>
            <w:vMerge/>
            <w:vAlign w:val="center"/>
            <w:hideMark/>
          </w:tcPr>
          <w:p w14:paraId="4EA63571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3352" w:type="dxa"/>
            <w:vMerge/>
            <w:vAlign w:val="center"/>
          </w:tcPr>
          <w:p w14:paraId="595D228A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14:paraId="6502F6F3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DC8BAEB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vAlign w:val="center"/>
          </w:tcPr>
          <w:p w14:paraId="58B79FC3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425" w:type="dxa"/>
            <w:vAlign w:val="center"/>
            <w:hideMark/>
          </w:tcPr>
          <w:p w14:paraId="1778E63E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425" w:type="dxa"/>
            <w:vAlign w:val="center"/>
          </w:tcPr>
          <w:p w14:paraId="1425894E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426" w:type="dxa"/>
            <w:vAlign w:val="center"/>
          </w:tcPr>
          <w:p w14:paraId="7F113253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425" w:type="dxa"/>
            <w:vAlign w:val="center"/>
          </w:tcPr>
          <w:p w14:paraId="51C494CF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425" w:type="dxa"/>
            <w:vAlign w:val="center"/>
          </w:tcPr>
          <w:p w14:paraId="7D8DB05F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67" w:type="dxa"/>
            <w:vAlign w:val="center"/>
            <w:hideMark/>
          </w:tcPr>
          <w:p w14:paraId="3FB43149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</w:t>
            </w:r>
          </w:p>
        </w:tc>
        <w:tc>
          <w:tcPr>
            <w:tcW w:w="567" w:type="dxa"/>
            <w:vAlign w:val="center"/>
            <w:hideMark/>
          </w:tcPr>
          <w:p w14:paraId="7ED39243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VIII</w:t>
            </w:r>
          </w:p>
        </w:tc>
        <w:tc>
          <w:tcPr>
            <w:tcW w:w="425" w:type="dxa"/>
            <w:vAlign w:val="center"/>
            <w:hideMark/>
          </w:tcPr>
          <w:p w14:paraId="159EFEE4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IX</w:t>
            </w:r>
          </w:p>
        </w:tc>
        <w:tc>
          <w:tcPr>
            <w:tcW w:w="426" w:type="dxa"/>
            <w:vAlign w:val="center"/>
            <w:hideMark/>
          </w:tcPr>
          <w:p w14:paraId="0FA52FB2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  <w:hideMark/>
          </w:tcPr>
          <w:p w14:paraId="4F23825A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</w:t>
            </w:r>
          </w:p>
        </w:tc>
        <w:tc>
          <w:tcPr>
            <w:tcW w:w="567" w:type="dxa"/>
            <w:vAlign w:val="center"/>
            <w:hideMark/>
          </w:tcPr>
          <w:p w14:paraId="204C8380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XII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center"/>
            <w:hideMark/>
          </w:tcPr>
          <w:p w14:paraId="325D7FF2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գինը</w:t>
            </w:r>
            <w:proofErr w:type="spellEnd"/>
          </w:p>
        </w:tc>
      </w:tr>
      <w:tr w:rsidR="008426EA" w:rsidRPr="00FB6AC5" w14:paraId="1864A23F" w14:textId="77777777" w:rsidTr="008E4742">
        <w:trPr>
          <w:gridAfter w:val="1"/>
          <w:wAfter w:w="12" w:type="dxa"/>
          <w:cantSplit/>
          <w:trHeight w:val="301"/>
        </w:trPr>
        <w:tc>
          <w:tcPr>
            <w:tcW w:w="569" w:type="dxa"/>
            <w:vAlign w:val="center"/>
          </w:tcPr>
          <w:p w14:paraId="17A392FF" w14:textId="77777777" w:rsidR="008426EA" w:rsidRPr="00FB6AC5" w:rsidRDefault="008426EA" w:rsidP="008E474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283" w:type="dxa"/>
            <w:vAlign w:val="center"/>
          </w:tcPr>
          <w:p w14:paraId="794B0B56" w14:textId="77777777" w:rsidR="008426EA" w:rsidRPr="00FB6AC5" w:rsidRDefault="008426EA" w:rsidP="008E474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39181200/530</w:t>
            </w:r>
          </w:p>
        </w:tc>
        <w:tc>
          <w:tcPr>
            <w:tcW w:w="3352" w:type="dxa"/>
            <w:vAlign w:val="center"/>
          </w:tcPr>
          <w:p w14:paraId="4EFEE61E" w14:textId="77777777" w:rsidR="008426EA" w:rsidRPr="00FB6AC5" w:rsidRDefault="008426EA" w:rsidP="008E474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Աշխարագրության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լաբորատորիայի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համար</w:t>
            </w:r>
            <w:proofErr w:type="spellEnd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պարագաներ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23CEDAC0" w14:textId="77777777" w:rsidR="008426EA" w:rsidRPr="00FB6AC5" w:rsidRDefault="008426EA" w:rsidP="008E474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լրակազմ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51AAC706" w14:textId="77777777" w:rsidR="008426EA" w:rsidRPr="00FB6AC5" w:rsidRDefault="008426EA" w:rsidP="008E474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84" w:type="dxa"/>
            <w:vAlign w:val="center"/>
          </w:tcPr>
          <w:p w14:paraId="1FA211C4" w14:textId="77777777" w:rsidR="008426EA" w:rsidRPr="00FB6AC5" w:rsidRDefault="008426EA" w:rsidP="008E4742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279044DA" w14:textId="77777777" w:rsidR="008426EA" w:rsidRPr="00FB6AC5" w:rsidRDefault="008426EA" w:rsidP="008E4742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vAlign w:val="center"/>
          </w:tcPr>
          <w:p w14:paraId="64AE1EF5" w14:textId="77777777" w:rsidR="008426EA" w:rsidRPr="00FB6AC5" w:rsidRDefault="008426EA" w:rsidP="008E4742">
            <w:pPr>
              <w:spacing w:after="0" w:line="240" w:lineRule="auto"/>
              <w:ind w:right="113"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6E68CF3" w14:textId="77777777" w:rsidR="008426EA" w:rsidRPr="00FB6AC5" w:rsidRDefault="008426EA" w:rsidP="008E474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5BA07FD" w14:textId="77777777" w:rsidR="008426EA" w:rsidRPr="00FB6AC5" w:rsidRDefault="008426EA" w:rsidP="008E474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D15A36" w14:textId="77777777" w:rsidR="008426EA" w:rsidRPr="00FB6AC5" w:rsidRDefault="008426EA" w:rsidP="008E474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7EB9A2" w14:textId="77777777" w:rsidR="008426EA" w:rsidRPr="00FB6AC5" w:rsidRDefault="008426EA" w:rsidP="008E474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A46AE6" w14:textId="77777777" w:rsidR="008426EA" w:rsidRPr="00FB6AC5" w:rsidRDefault="008426EA" w:rsidP="008E474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A5B460" w14:textId="77777777" w:rsidR="008426EA" w:rsidRPr="00FB6AC5" w:rsidRDefault="008426EA" w:rsidP="008E474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0590E7" w14:textId="77777777" w:rsidR="008426EA" w:rsidRPr="00FB6AC5" w:rsidRDefault="008426EA" w:rsidP="008E474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94D972" w14:textId="77777777" w:rsidR="008426EA" w:rsidRPr="00FB6AC5" w:rsidRDefault="008426EA" w:rsidP="008E474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56690A1" w14:textId="77777777" w:rsidR="008426EA" w:rsidRPr="00FB6AC5" w:rsidRDefault="008426EA" w:rsidP="008E4742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AC73C65" w14:textId="77777777" w:rsidR="008426EA" w:rsidRPr="00FB6AC5" w:rsidRDefault="008426EA" w:rsidP="008E474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8426EA" w:rsidRPr="00FB6AC5" w14:paraId="1F934EA5" w14:textId="77777777" w:rsidTr="008E4742">
        <w:trPr>
          <w:cantSplit/>
          <w:trHeight w:val="182"/>
        </w:trPr>
        <w:tc>
          <w:tcPr>
            <w:tcW w:w="8046" w:type="dxa"/>
            <w:gridSpan w:val="5"/>
            <w:vAlign w:val="center"/>
          </w:tcPr>
          <w:p w14:paraId="67B0FD29" w14:textId="77777777" w:rsidR="008426EA" w:rsidRPr="00FB6AC5" w:rsidRDefault="008426EA" w:rsidP="008E4742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FB6AC5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Ընդամենը</w:t>
            </w:r>
            <w:proofErr w:type="spellEnd"/>
            <w:r w:rsidRPr="00FB6AC5">
              <w:rPr>
                <w:rFonts w:ascii="GHEA Grapalat" w:hAnsi="GHEA Grapalat"/>
                <w:b/>
                <w:bCs/>
                <w:color w:val="000000" w:themeColor="text1"/>
                <w:sz w:val="20"/>
                <w:szCs w:val="20"/>
              </w:rPr>
              <w:t>՝</w:t>
            </w:r>
          </w:p>
        </w:tc>
        <w:tc>
          <w:tcPr>
            <w:tcW w:w="6495" w:type="dxa"/>
            <w:gridSpan w:val="14"/>
            <w:shd w:val="clear" w:color="auto" w:fill="auto"/>
            <w:vAlign w:val="center"/>
          </w:tcPr>
          <w:p w14:paraId="0BED0988" w14:textId="77777777" w:rsidR="008426EA" w:rsidRPr="00FB6AC5" w:rsidRDefault="008426EA" w:rsidP="008E4742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FB6AC5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</w:tbl>
    <w:p w14:paraId="713CD82B" w14:textId="77777777" w:rsidR="008426EA" w:rsidRPr="00FB6AC5" w:rsidRDefault="008426EA" w:rsidP="008426EA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463DEDB8" w14:textId="77777777" w:rsidR="008426EA" w:rsidRPr="00FB6AC5" w:rsidRDefault="008426EA" w:rsidP="008426EA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7" w:name="_Hlk160620678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7"/>
    </w:p>
    <w:p w14:paraId="50D58EAC" w14:textId="77777777" w:rsidR="008426EA" w:rsidRPr="00FB6AC5" w:rsidRDefault="008426EA" w:rsidP="008426EA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proofErr w:type="spellStart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proofErr w:type="spellEnd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proofErr w:type="spellEnd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proofErr w:type="spellEnd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proofErr w:type="spellEnd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proofErr w:type="spellStart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  <w:proofErr w:type="spellEnd"/>
    </w:p>
    <w:p w14:paraId="2BCF4CBA" w14:textId="77777777" w:rsidR="008426EA" w:rsidRPr="00FB6AC5" w:rsidRDefault="008426EA" w:rsidP="008426EA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proofErr w:type="spellStart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</w:t>
      </w:r>
      <w:proofErr w:type="spellEnd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՝</w:t>
      </w:r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900011047413</w:t>
      </w:r>
    </w:p>
    <w:p w14:paraId="4ABF5928" w14:textId="77777777" w:rsidR="008426EA" w:rsidRPr="00FB6AC5" w:rsidRDefault="008426EA" w:rsidP="008426EA">
      <w:pPr>
        <w:spacing w:after="0"/>
        <w:ind w:left="-709" w:firstLine="425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Բանկային երաշխիքներում կամ տուժանքներում նշվող  </w:t>
      </w:r>
      <w:proofErr w:type="spellStart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</w:t>
      </w:r>
      <w:proofErr w:type="spellEnd"/>
      <w:r w:rsidRPr="00FB6AC5">
        <w:rPr>
          <w:rFonts w:ascii="GHEA Grapalat" w:hAnsi="GHEA Grapalat" w:cs="Sylfaen"/>
          <w:i/>
          <w:color w:val="000000" w:themeColor="text1"/>
          <w:sz w:val="18"/>
          <w:szCs w:val="18"/>
        </w:rPr>
        <w:t>՝</w:t>
      </w:r>
      <w:r w:rsidRPr="00FB6AC5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900001044172</w:t>
      </w:r>
    </w:p>
    <w:p w14:paraId="169482A5" w14:textId="77777777" w:rsidR="00E876F3" w:rsidRPr="00FB6AC5" w:rsidRDefault="00E876F3" w:rsidP="008426EA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lang w:val="hy-AM"/>
        </w:rPr>
      </w:pPr>
    </w:p>
    <w:sectPr w:rsidR="00E876F3" w:rsidRPr="00FB6AC5" w:rsidSect="00E52314">
      <w:pgSz w:w="15840" w:h="12240" w:orient="landscape"/>
      <w:pgMar w:top="5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4A3EF1"/>
    <w:multiLevelType w:val="hybridMultilevel"/>
    <w:tmpl w:val="CFC2BE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5039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521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593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665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737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809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881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953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10259" w:hanging="360"/>
      </w:pPr>
      <w:rPr>
        <w:rFonts w:ascii="Wingdings" w:hAnsi="Wingdings" w:hint="default"/>
      </w:rPr>
    </w:lvl>
  </w:abstractNum>
  <w:abstractNum w:abstractNumId="7" w15:restartNumberingAfterBreak="0">
    <w:nsid w:val="38C46A61"/>
    <w:multiLevelType w:val="hybridMultilevel"/>
    <w:tmpl w:val="D4461C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070801"/>
    <w:multiLevelType w:val="hybridMultilevel"/>
    <w:tmpl w:val="7D721C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0"/>
  </w:num>
  <w:num w:numId="5">
    <w:abstractNumId w:val="12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11"/>
  </w:num>
  <w:num w:numId="11">
    <w:abstractNumId w:val="9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190657"/>
    <w:rsid w:val="00245566"/>
    <w:rsid w:val="002C5D44"/>
    <w:rsid w:val="00301947"/>
    <w:rsid w:val="00387BFC"/>
    <w:rsid w:val="003D4725"/>
    <w:rsid w:val="00536CF5"/>
    <w:rsid w:val="00753EEB"/>
    <w:rsid w:val="008426EA"/>
    <w:rsid w:val="00A344E6"/>
    <w:rsid w:val="00B302CC"/>
    <w:rsid w:val="00B71848"/>
    <w:rsid w:val="00BA0512"/>
    <w:rsid w:val="00BC3551"/>
    <w:rsid w:val="00CC200E"/>
    <w:rsid w:val="00D93AEA"/>
    <w:rsid w:val="00DC73B4"/>
    <w:rsid w:val="00E52314"/>
    <w:rsid w:val="00E876F3"/>
    <w:rsid w:val="00F24907"/>
    <w:rsid w:val="00FB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F249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9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907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49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4907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3042</Words>
  <Characters>17340</Characters>
  <Application>Microsoft Office Word</Application>
  <DocSecurity>0</DocSecurity>
  <Lines>144</Lines>
  <Paragraphs>40</Paragraphs>
  <ScaleCrop>false</ScaleCrop>
  <Company/>
  <LinksUpToDate>false</LinksUpToDate>
  <CharactersWithSpaces>20342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a.arakelyan</cp:lastModifiedBy>
  <cp:revision>24</cp:revision>
  <dcterms:created xsi:type="dcterms:W3CDTF">2024-03-20T11:38:00Z</dcterms:created>
  <dcterms:modified xsi:type="dcterms:W3CDTF">2025-09-05T13:01:00Z</dcterms:modified>
</cp:coreProperties>
</file>