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ԿԾԿԾԻԳ-ԷԱՃԱՊՁԲ-25/25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БРП ОНКС РА “Центр образовательных программ”</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0070, ул. С. Врацяна 73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ԿԾԿԾԻԳ-ԷԱՃԱՊՁԲ-25/25  для нужд БРП ОНКС РА “Центр образовательных программ”</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Анаит Аракелян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a.arakelyan@promotion.am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98389689 (ներքին հեռախոսահամար՝ 05)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БРП ОНКС РА “Центр образовательных программ”</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ԿԾԿԾԻԳ-ԷԱՃԱՊՁԲ-25/25</w:t>
      </w:r>
      <w:r w:rsidRPr="00E4651F">
        <w:rPr>
          <w:rFonts w:asciiTheme="minorHAnsi" w:hAnsiTheme="minorHAnsi" w:cstheme="minorHAnsi"/>
          <w:i/>
        </w:rPr>
        <w:br/>
      </w:r>
      <w:r w:rsidR="00A419E4" w:rsidRPr="00E4651F">
        <w:rPr>
          <w:rFonts w:asciiTheme="minorHAnsi" w:hAnsiTheme="minorHAnsi" w:cstheme="minorHAnsi"/>
          <w:szCs w:val="20"/>
          <w:lang w:val="af-ZA"/>
        </w:rPr>
        <w:t>2025.09.04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БРП ОНКС РА “Центр образовательных программ”</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БРП ОНКС РА “Центр образовательных программ”</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ԿԾԿԾԻԳ-ԷԱՃԱՊՁԲ-25/25  для нужд БРП ОНКС РА “Центр образовательных программ”</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ԿԾԿԾԻԳ-ԷԱՃԱՊՁԲ-25/25  для нужд БРП ОНКС РА “Центр образовательных программ”</w:t>
      </w:r>
      <w:r w:rsidR="00812F10" w:rsidRPr="00E4651F">
        <w:rPr>
          <w:rFonts w:cstheme="minorHAnsi"/>
          <w:b/>
          <w:lang w:val="ru-RU"/>
        </w:rPr>
        <w:t xml:space="preserve">ДЛЯ НУЖД </w:t>
      </w:r>
      <w:r w:rsidR="0039665E" w:rsidRPr="0039665E">
        <w:rPr>
          <w:rFonts w:cstheme="minorHAnsi"/>
          <w:b/>
          <w:u w:val="single"/>
          <w:lang w:val="af-ZA"/>
        </w:rPr>
        <w:t>БРП ОНКС РА “Центр образовательных программ”</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ԿԾԿԾԻԳ-ԷԱՃԱՊՁԲ-25/25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a.arakelyan@promotion.am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ԿԾԿԾԻԳ-ԷԱՃԱՊՁԲ-25/25  для нужд БРП ОНКС РА “Центр образовательных программ”</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Աշխարհագրության լաբորատորիայի համար տպագրական նյութեր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30 %-ի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382.77</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447.46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2025.09.19.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ԿԾԿԾԻԳ-ԷԱՃԱՊՁԲ-25/25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БРП ОНКС РА “Центр образовательных программ”</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"ԿԾԿԾԻԳ-ԷԱՃԱՊՁԲ-25/25"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БРП ОНКС РА “Центр образовательных программ”*(далее — Заказчик) процедуре закупок под кодом ԿԾԿԾԻԳ-ԷԱՃԱՊՁԲ-25/25*.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- 900011047413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"ԿԾԿԾԻԳ-ԷԱՃԱՊՁԲ-25/25"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БРП ОНКС РА “Центр образовательных программ”*(далее — Заказчик) процедуре закупок под кодом ԿԾԿԾԻԳ-ԷԱՃԱՊՁԲ-25/25*.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- 900011047413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Приложение 4.2</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ԿԾԿԾԻԳ-ԷԱՃԱՊՁԲ-25/25*</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номер заключаемого договора</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БРП ОНКС РА “Центр образовательных программ” (далее-бенефициар)  и ______________________________________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наименование отобранного участника</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Pr="00E41FA3">
          <w:rPr>
            <w:rStyle w:val="Hyperlink"/>
            <w:rFonts w:cstheme="minorHAnsi"/>
          </w:rPr>
          <w:t>www.procurement.am</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ԿԾԿԾԻԳ-ԷԱՃԱՊՁԲ-25/25</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*Заполняется секретарем Комиссии до опубликования приглашения в бюллетене</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ԿԾԿԾԻԳ-ԷԱՃԱՊՁԲ-25/25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Աշխարհագրության լաբորատորիայի համար տպագրական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ниже в Приложении 1, a ключевые особенности обучающих карт следующие:
- карты создаются в соответствии с четкими научными обоснованиями и целями,
- каждая карта должна соответствовать определенной части учебной программы и содержать все объекты и явления для исследования, доступные в учебнике, и даже некоторую дополнительную информацию.
В процессе создания учебных карт необходимо:
- обеспечьте связь контента между общими географическими и тематическими картами,
- подчеркивать важность определения принципов обобщения (генерализации) при составлении карт,
- при разработке принципов формирования карт обращайте внимание на их наблюдательность, выразительность и понятность.,
-обеспечить видимость, возможность охватить исследуемую территорию с первого взгляда, чтобы получить полное и четкое общее представление о содержании и значении карты,
- не превращать учебные карты в схемы, обеспечивать соответствие взаимного расположения объектов действительности. необходимо соблюдать локализацию объектов по сравнению с гидрографической и картографической сетью,
- все данные, размещенные на карте обучения, не противоречат действительности и актуальны в настоящее время,
- учебные карты не должны быть перегружены,
- система условных обозначений должна быть простой и понятной;
а) разработать или выбрать такие системы условных обозначений, которые вызывали бы у школьников ассоциации (Ассоциации) с географическими объектами и явлениями,
б) условные обозначения на большой настенной карте должны совпадать с условными обозначениями в атласах.,
- карты должны быть наглядными, привлекательными, понятными и максимально доступными для разных школьных возрастных групп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Приложении 2 к приложенному Приложении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прикрепленной Приложении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