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ԱԿ ՓԲԸ կարիքների համար անհրաժաշետություն է առաջացել ՃԱԿ-ԷԱՃԱՊՁԲ-25/15 ծածկագրով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ԱԿ ՓԲԸ կարիքների համար անհրաժաշետություն է առաջացել ՃԱԿ-ԷԱՃԱՊՁԲ-25/15 ծածկագրով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ԱԿ ՓԲԸ կարիքների համար անհրաժաշետություն է առաջացել ՃԱԿ-ԷԱՃԱՊՁԲ-25/15 ծածկագրով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ԱԿ ՓԲԸ կարիքների համար անհրաժաշետություն է առաջացել ՃԱԿ-ԷԱՃԱՊՁԲ-25/15 ծածկագրով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ՃԱՄԱԲԱՐԱԿԻ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25դեկտեմբերի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Հանձնելու
պահին դեղորայքի պիտանելիության ժամկետը պետք է
լինի հետևյալը՝ 2,5 տարի և ավելի պիտանիության
ժամկետ ունեցող դեղերը հանձնելու պահին պետք է
ունենան առնվազն 24 ամիս մնացորդային
պիտանիության ժամկետ, մինչև 2,5 տարի
պիտանիության ժամկետ ունեցող դեղերը հանձնելու
պահին պետք է ունենան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Դեղը պետք է գրանցված լինեն ՀՀ
դեղերի պետական գրանցամատյանում (ռեեստր)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գլուկոնատ դհտ. 500մգ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(մեբհիդրոլին նապադիզիատ/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20մգ,ապակե սրվակ և լուծիչ ամպուլներում 5մլ, դեղափոշի լիոֆիլացված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դեղահատեր, աղելույծ,10000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Մետոկլոպրամիդի հիդրոքլորիդի մոնոհիդրատ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B1, վիտամին B2, վիտամին B6, վիտամին B12, նիկոտինամիդ, պանտոթենաթթու, ֆոլաթթու, վիտամին C, երկաթ, ցինկ, պղինձ, մանգան, քրոմ, սելեն, յոդ ,դեղահատեր ծամելու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B6, նիկոտինամիդ, վիտամին B12, ֆոլաթթու, բիոտին, կալցիումի պանտոթենատ, վիտամին K1, կալցիում (դիկալցիումի ֆոսֆատ), մագնեզիում (մագնեզիումի օքսիդ), կալիում (կալիումի քլորիդ), ե,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B12, նիկոտինամիդ,  բիոտին, կալցիումի պանտոթենատ, վիտամին K1, կալցիում (դիկալցիումի ֆոսֆատ), մագնեզիում (մագնեզիումի օքսիդ), կալիում (կալիումի քլորիդ), ե,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B6,դեքսպանթենոլ, նիկոտինամիդ, լուծույթ ներարկման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25 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համալիր,Ֆերում Լեկ . լուծույթ, մ/մ ներարկման 50մգ/2մլ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 լուծույթ ներքին ընդունման ,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(գլիցերիլ տրինիտրատ) խտանյութ, կաթիլաներարկման լուծույթի, 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հիդրոքլորիդ,150մգ/մլ, 3մլ ամպուլներ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 լուծույթ ներարկման,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 լուծույթ ներարկման,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դեղափոշի, արտաքին կիրառման լուծույթի, պլաստիկե կամ ապակե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բենզոկային մոմիկներ ուղիղաղիքային,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արտաքին կիրառման քսուք 30մգ/գ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2.0 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լուծույթ ներարկման 10մգ/մլ, 2,5մլ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լուծույթ ներարկման, 25մգ/մլ-2մլ: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դեղափոշի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դպճ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լուծույթ ներարկման 10. 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0.5 լուծույթ ներարկման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դեղափոշի ներքին ընդունման դեղակախույթի,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 1.մլ լուծույթ ներարկման՝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դեղահատեր թաղանթապատ 250մգ+125մգ,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դեղափոշի ներարկման լուծույթի 3600000ՄՄ,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Կուլտուրալ խտացված մաքրված ինակտիվացված չոր պատվաստանյութ կատաղության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լուծույթ`ներերակային, միջմկանային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(դեքսամեթազոնի նատրիումական ֆոսֆատ) - լուծույթ ներարկման,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լուծույթ ինհալացիայի համար, 025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 հիմք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Ցիպրոֆլօքսացին,ցիպրօֆլոքսացինի հիդրոքլորիդ,դեքսամետազոն,        դեղակախույթ,աչքի/ականջի,10մլ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քլորֆենիրամին (քլորֆենիրամինի մալեատ), ֆենիլէֆրին (ֆենիլէֆրինի հիդրոքլորիդ,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քթի ցողացիր, 0,1%-10մլ պլաստիկե սրվակ դոզավորող ներդրուկով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30մգ,քսուք արտաքին կիրառման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դեղափոշի, լիոֆիլիզացված, ներարկման լուծույթի,մ/մ ն/ե ե/մ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(,դեղափոշի, լիոֆիլացված, ներարկման լուծույթի.3.0 ամպուլներ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սրվ. մ/մ ն/ե ե/մ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ֆենիլեֆրին ակնակաթիլ 2.5%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Դրոպերիդոլ,5մգ/մլ 2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ներերակային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Ադենոզին-5-եռֆոսֆատոհիստիդինատ մագնեզիումի (II) եռկալիումի օկտահիդրատ նատրիումի քլորիդովլուծույթ ներարկման,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հիդրոքլորիդ),լուծույթ ներարկման,20մգ/մլ,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 լուծույթ ն/ե կաթիլաներարկման, 5 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դեղափոշի,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օսլա,լուծույթ, կաթիլաներարկման60մգ/մլ, , 500մլ պլաստիկե փաթեթ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