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20-25մ երկարությամբ,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պարկով,400մարկայի,50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պատի հաստությունը 0,3սմ,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14մմ մետաղական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պրոֆնաստիլ, կպ 21, ցինկապատ գունավոր ծածկույթով /փայլուն և անփայլ/ 0,4-0,5մմ հաստությամբ, կղնիդր տեսակի, լայնությունը 1-1,15մ, երկարությունը 10-12մ: երաշխիքային ժամկետ 15 տարի:  գույնը համապատասխանեցնել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չափը՝   30х40սմ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պլասմասի հաստությունը 3-4մմ,կոնպլեկտ,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350 դասի, տեղափոխումն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6 մմ, երկ․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համար,ծածկողականությունը 1կգ- 6-8 քմ, Պֆ 115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չժանգոտվող մետաղից, թաթիկով կլորաձև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4 տեղանոց 2մ երկարությամբ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մետաղական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