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ԱԱԳԼ-ԷԱՃԱՊՁԲ-25/34</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ԱԱԳԼ-ԷԱՃԱՊՁԲ-25/34</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Мини-корпус (ящик) для модулей VME, предназначенный для небольших систем. Оснащен малошумным источником питания и охлаждающим вентилятором. Встроенный источник питания, разработанный с использованием технологии УКВ-переключения с низким уровнем шума, шум и волны менее 10 мВ (ppt) или 3 МВ (среднеквадратичное значение), соответствует стандарту CE. Возможность подключения к интернету для удаленного управления и мониторинга, светодиодный дисплей. Вход переменного напряжения 94-265 в с регулировкой коэффициента мощности, соответствует стандарту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доступ. Перемычка усиления 1 в/50 Ом и 0,5 в/96 ом. Выход Lemo и встроенная программа SCP. Входные сигналы для максимального диапазона (канал с самым высоким спектром) 1,5-20 в
Входной шум: до 2 УФ при распределении 2 МКС. Фаза восстановления-динамический диапазон перезапуска предварительных усилителей: сигнал/шум перезапуска = 1,5*106 при 2 МКС во время формирования. Восстановление в течение 2 МКС + времени формования. Два выхода монитора с высоким разрешением для мониторинга внутренних сигналов и шума с помощью осциллографа. Два входа активации с высоким разрешением с разрешением 24 ps, окно запуска:
Установка и обновление через USB или виртуальную машину.
Сокращение времени до 75 среднеквадратичных оборотов в секунду.
Амплитудная разрешающая способность лучше 32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Мини-корпус (ящик) MBOD 19 дюймов x 5U с модульной решеткой предназначен для 4 модулей низкого или высокого напряжения. Доступны модули высокого, низкого напряжения или смешанного типа для модулей низкого/высокого напряжения. До 192 каналов с возможностью высокого напряжения, модули ISEG ES/EDS/EBS с 8-48 каналами в диапазоне 100-20 кВ, с плавающим или общим заземлением. До 32 каналов низкого напряжения на шасси, 8-канальные модули низкого напряжения серии WIENER MPV 8xxx со встроенным основным источником питания (600 Вт) в диапазонах от 0 до 8 в, низким уровнем шума и встроенная система охлаждения ripple.
Карта администратора Mpod с интерфейсом Ethernet 10/100, CAN-bus и USB-2, разъемом блокировки, менеджером ISEG CC24 (с веб-службой Linux OS iCS, IOC от EPIC, OPC и SNMP). интегрированный веб-сервер и соединение TCP/IP через SNMP, сервер OPC, поддержка DHCP, вход переменного тока 94-265 в, с коррекцией коэффициента мощности, CE-в соответствии с требованиями.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использование полосы пропускания Gbit Ethernet. Соединение USB3, USB2 и Gbit/s Ethernet. Стабильная скорость передачи 127 МБ/с через USB3 (скорость 1 МГц, продолжительность 104-120 байт). Гибкий модуль триггера и логики ввода-вывода. поддержка программного пакета mvme. Открытый исходный код, пользовательский драйвер и библиотека для создания систем чтения. Можно использовать С C++/C.
Обновления программного обеспечения.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диапазон многоканальных устройств: от 100 В до 10 кВ (обычно 9 Вт на канал). Низкие волны и шум.
Управление напряжением и током на канал. Ограничения тока и напряжения оборудования на модуль.
Программируемый параметр отключения.
24-разрядный АЦП и 16-20-разрядный ЦАП.
Схема защиты, защитное кольцо, ингибирование для одного канала.
Вном —100В-20кв
Vin — 24 в, 5 в
Колебания и шум: 3-10 МВ.
Разъем высокого напряжения (HV connector) - SHV, KINGS, REDEL.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Возможность установки в стойку
Процессор: не менее Intel Xeon-E5-2620v3 2,40 ГГц, 6 ядер
Оперативная память: не менее 32 ГБ DDR4 (можно 2 модуля по 16 ГБ) 2400 МГц RDIMM
Оборудование RAID: мини-моно RAID-контроллер с кэшем не менее 1 ГБ
Сетевые карты: не менее 4 шт., каждая с 1 ГБ памяти, вход BASE-T
Диск: HDD не менее 1,2 ТБ SAS 10K 2.5 12 Гбит/с с лотком Tray caddy
Диск: SSD не менее 400 ГБ SAS 2.5 12 Гбит/с с лотком Tray caddy
Удалённое администрирование: не менее iDRAC8 Enterprise Remote Administration
TPM: без дополнительного модуля TPM
Источник питания: не менее 1 блока питания, обеспечивающего бесперебойную работу сервера
Гарантия: не менее 1 года, включая HDD и SSD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вступленияВ течение 90 календарных дней со дня вступления договора в силу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