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TM-NBK-EAJAPDB-26/04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TM-NBK-EAJAPDB-26/04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TM-NBK-EAJAPDB-26/04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TM-NBK-EAJAPDB-26/04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դ/հ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 մլ(զելյոնկա)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Լևոթիրօթսին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ն/հ 20%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 մգ / 5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թ/պ դ/հ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Ֆերրում Լեկ մ/մ ամպ.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դ/հ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(պիրանտելի էմբոնատ)  pyrantel (pyrantel embonate)դեղահատեր250մգ,ներքին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500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water for injection լուծույթ ներարկման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ներարկման9մգ / մլ, 5 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400մգ/5մլ, 5մլ սրվակ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լուծույթ 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և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դեղապատիճ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 մգ / մլ, 250 մլ, պլաստիկ փաթեթ, երկպորտանի, երկրորդային ոչ լուսաթափանց փայլաթիթեղային փաթեթավորումՄօքսիֆլօքսացին  moxifloxacin  լուծույթ կաթիլաներարկման 1.6 մգ / մլ, 250 մլ, պլաստիկ փաթեթ, երկպորտանի, երկրորդային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/օկտեոտիդի ացետատ/լուծույթ ներարկման 0.1մգ/մլ-1մլ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 մլ(զելյոնկա)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10մգ/մլ-10մլ %(զելյոնկա), արտաքին օգտագործման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2մգ/գ  25գ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 մգ, դեղահատ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կաթիլային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Լևոթիրօթսին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դեղահատ 50 մկգ,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դեղապատիճներ 400մգ,ներքին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ն/հ 20%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 ներարկման 200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 մգ / 5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ադեմետիոնինademetionineդեղափոշի լիոֆիլացված ներարկման լուծույթի400մգ, ապակե սրվակներ (5)և5մլ լուծիչ ն/ե,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թ/պ դ/հ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դեղահատեր թաղանթապատ22,5մգ,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թաղանթապատ դեղահաբեր,ներքին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դեղահատեր25մգ,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 ՄՄ Axa / 0,3 մլ, 0,3 մլ նախալցված ներարկիչ,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դիհիդրատ)meldonium (meldonium dihydrate)լուծույթ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hydrochloride)դեղապատիճներ 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լուծույթ ներքին ընդունման 375մկգ/մլ (15000ՄՄ/մլ),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acidլուծույթ ն/ե կաթիլաներարկ-ման100մգ/մլ,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Ֆերրում Լեկ մ/մ ամպ.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համալիրiron (III)-hydroxide dextran complexլուծույթ մ/մ ներարկման50մգ/մլ,2մլ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դեղահատեր թաղանթապատ 470մգ+5մգ.ներքին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valerianae extract ոգեթուրմ 200մգ/մլ, 30մլ ներքին ընդունման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