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տպիչ սարքի ձեռքբերման նպատակով ՀԳՊԱ-ԷԱՃԱՊՁԲ-2025/20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տպիչ սարքի ձեռքբերման նպատակով ՀԳՊԱ-ԷԱՃԱՊՁԲ-2025/20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տպիչ սարքի ձեռքբերման նպատակով ՀԳՊԱ-ԷԱՃԱՊՁԲ-2025/20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տպիչ սարքի ձեռքբերման նպատակով ՀԳՊԱ-ԷԱՃԱՊՁԲ-2025/20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