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ԷԱՃԱՊՁԲ-ԴԳ-25/1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 գեներատորի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ԷԱՃԱՊՁԲ-ԴԳ-25/1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 գեներատորի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 գեներատորի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ԷԱՃԱՊՁԲ-ԴԳ-25/1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 գեներատորի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ԷԱՃԱՊՁԲ-ԴԳ-25/1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ԷԱՃԱՊՁԲ-ԴԳ-25/1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ԷԱՃԱՊՁԲ-ԴԳ-25/1»*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ԷԱՃԱՊՁԲ-ԴԳ-25/1*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ԷԱՃԱՊՁԲ-ԴԳ-25/1»*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ԷԱՃԱՊՁԲ-ԴԳ-25/1*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դիզել գեներատորի համար երաշխիքային ժամկետ է սահմանվում Գնորդի կողմից ապրանքն ընդունվելու օրվան հաջորդող օրվանից հաշված 365 օրացուցային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գեներատորային համակարգը պետք է լինի նախատեսված ապահովելու առնվազն 125 KVA / 100 KW աշխատանքային հզորություն։ Գեներատորը պետք է գործի 50 Հց հաճախականությամբ և օգտագործի դիզելային վառելիք։ Վառելիքի բաքի տարողունակությունը պետք է լինի առնվազն 18 լիտր։
Վառելիքի ծախսը պետք է կազմի՝ 25.6 լ/ժ՝ 100% բեռնվածության դեպքում, 19.2 լ/ժ՝ 75% բեռնվածության դեպքում, 12.8 լ/ժ՝ 50% բեռնվածության դեպքում։
Շարժիչը պետք է լինի 1500 պտ/րոպե արագությամբ։ Այն պետք է ունենա ուղիղ ներարկման համակարգ և սեղմման հարաբերակցություն՝ 16:1։ Մխոցի հարվածը պետք է լինի 130 մմ, իսկ շարժիչի աշխատանքային ծավալը՝ 6.49 լիտր։ Օդի ընդունումը պետք է իրականացվի տուրբոսարկիչի միջոցով՝ միջանկյալ սառեցմամբ։ Սառեցման համակարգը պետք է լինի հեղուկ, 23 լիտր տարողունակությամբ։ Շարժիչի կարգավորումը պետք է իրականացվի մեխանիկական եղանակով։
Գեներատորի չափսերը չպետք է գերազանցեն՝ երկարությունը՝ 3150 մմ, լայնությունը՝ 1000մմ, բարձրությունը՝ 1700մմ, քաշը պետք է լինի առավելագույնը 1600 կգ։
Գեներատորի կառավարման վահանակը պետք է լինի D-300 մոդելի կամ համարժեք։ Այն պետք է ունենա հետևյալ գործառույթները՝ վեբի վրա հիմնված վերահսկիչ, 128x64 գրաֆիկական LCD էկրան, հոսանքի և լարման ազդանշանների ձևի ցուցադրում, ներդաշնակության վերլուծություն, CANBUS-J1939 և MPU աջակցություն, կարգավորման հնարավորություն՝ USB, RS-232 և GPRS միջոցով, GSM և GPS միացման հնարավորություն, IP65 պաշտպանության աստիճան՝ լրացուցիչ միջադիրով։
Շարժիչը պետք է ունենա 6 բալոն։ Ռադիատորը պետք է լինի արևադարձային տիպի։ Գեներատորը պետք է հագեցած լինի արդյունաբերական տիպի խլացուցիչով և պողպատե փոխհատուցիչով, ինչպես նաև ազատ մեկնարկային մարտկոցով և ջրային վառարանով։
Պաշտպանության աստիճանը պետք է համապատասխանի IP21-23 չափանիշներին, իսկ մեկուսացման դասը՝ H։ Սարքավորումը պետք է ունենա ավտոմատ լարման կարգավորիչ՝ ±1% ճշգրտությամբ։ Լարումը պետք է լինի 400/230 Վ, շարժիչի պտույտների քանակը՝ 1500 պտ/րոպե, գեներատորը պետք է լինի 3 փուլի, Cos φ = 0.8։ Գեներատորը պետք է ունենա հետևյալ հատուկ առանձնահատկությունները՝ ավտոմատ և ձեռքով կառավարման միավորներ, հեռակառավարման հնարավորություն, SMS և էլեկտրոնային հաղորդագրությունների ուղարկում, վառելիքի ավտոմատ լիցքավորման համակարգ, հակավիբրացիոն սեպեր, փակվող դռներ և թափանցիկ դիտման պատուհան։
Առաջադեմ անվտանգության համակարգ՝ ծանրաբեռնվածությունից, հակադարձ հզորությունից, լարման անհավասարակշռությունից պաշտպանություն
Գեներատորային համակարգի հետ միասին պետք է մատակարարվեն հետևյալ լրացուցիչ պարագաները՝ ԱՎԲԳ մալուխ՝ 4×120 մմ², 40 մետր, ՎՎԳ մալուխ՝ 7×2.5 մմ², 36 մետր, ծայրակալներ՝ 120 մմ², 30 հատ, ATS՝ 400A, 1 հատ, կապիչներ՝ 2.5 սմ, 40 հատ։ 
Մատակարարը պարտավոր է՝ իրականացնել սարքավորման մատակարարումը, բեռնաթափումը, տեղադրումը և ներդաշնակեցումը գործող էլեկտրամատակարարման ցանցին և անհրաժեշտության դեպքում ուսուցումը։ Ապրանքի համար պետք է տրվի առնվազն 365 օրացույցային օր երաշխիք: Ապրանքը պետք է լինի նոր և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