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ԵՊՀ-ԷԱՃԱՊՁԲ-25/206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Ցուցատախտակների (անվանատախտակների)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Աղուզումցյան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ԵՊՀ-ԷԱՃԱՊՁԲ-25/206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Ցուցատախտակների (անվանատախտակների)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Ցուցատախտակների (անվանատախտակների)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ԵՊՀ-ԷԱՃԱՊՁԲ-25/206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Ցուցատախտակների (անվանատախտակների)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Ցուցատախտակներ (անվանատախտակներ)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ԵՊՀ-ԷԱՃԱՊՁԲ-25/206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ԵՊՀ-ԷԱՃԱՊՁԲ-25/206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«ԵՊՀ-ԷԱՃԱՊՁԲ-25/206»*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«ԵՊՀ-ԷԱՃԱՊՁԲ-25/206»*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մարքեթինգի բաժին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Ցուցատախտակներ (անվանատախտակներ)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Ցուցատախտակի նյութը՝ 2.5 մմ թափանցիկ, անփայլ, օրգանական ապակի, չափսը՝ 15 սմ բարձրություն, 45 սմ երկարություն, տպագրության տեսակը՝ 1440 dpi խտությամբ UV տպագրություն, բարձրորակ,
Պետք է առկա լինեն մետաղական 2 ամրակներ, տպագրվող նյութի տառատեսակը պետք է համապատասխանի ԵՊՀ-ում առկա ցուցատախտակների տառատեսակին /GHEA Grapalat/: Ցուցատախտակների տեղադրումը՝ մատակարարի միջոցներով: Ցուցատախտակների չափսերը կարող են փոփոխվել՝ ըստ ԵՊՀ մարքեթինգի բաժնի ներկայացրած պահանջի։ Ցուցատախտակների դիզայնը կատարելու է մատակարարը՝ իր միջոցներով, ԵՊՀ մարքեթինգի բաժնի պատվերով, որոնց տպագրությունը արտոնվելու է բացառապես նշված բաժնի հաստատման դեպքում, այլապես ցուցանակները չեն ընդունվելու ԵՊՀ-ի կողմից։ Ցուցատախտակների վրա կարող են տպագրվել թե սև, թե գունավոր տառեր, պատկերներ՝ համաձայն ԵՊՀ մարքեթինգի բաժնից ներկայացված պահանջի։ Մատակարարման վայրը՝ ըստ պատվիրատուի պահանջի: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անց, բայց ոչ ուշ, քան 2025 թվականի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Ցուցատախտակներ (անվանատախտակներ)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