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Поставка: по талонам. Поставка осуществляется в виде талонов объёмом 10 и 20 литров, распределяемых поровну. Необходимо обеспечить наличие автозаправочных станций во всех регионах РА и г. Ереване для обслуживания предоставленных талонов. Поставка осуществляется в соответствии с заказом потребителя.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с талонами. Цетановое число не менее 51, цетановый индекс не менее 46, плотность при 15°C от 820 до 845 кг/м3, содержание серы не более 350 мг/кг, температура вспышки не менее 55°C, коксуемость в 10% отстое не более 0,3%, вязкость при 40°C от 2,0 до 4,5 мм2/с, температура помутнения не выше 0°C. Отпускается по талонам. Талоны должны быть действительны не менее 12 месяцев со дня поставки и должны обслуживаться в г. Ереване (не менее одной АЗС в каждом административном районе) и во всех областях Республики Армения. Безопасность, маркировка и упаковка соответствуют «Техническому регламенту топлив для двигателей внутреннего сгорания», утвержденному постановлением Правительства РА № 1592-Н от 11 ноября 2004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