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Արագածոտնի մարզ Ապարանի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Арагацотнская область, город Апаран, улица Баграмяна 26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стульев для нужд актовых залов сельских поселений общины Апаран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Հովսեփյան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haykhovsepyanhv@mail.ru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094231893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Արագածոտնի մարզ Ապարանի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ՀՀ-ԱՄ-ԱՀ-ԷԱՃԱՊՁԲ-101/25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стульев для нужд актовых залов сельских поселений общины Апаран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стульев для нужд актовых залов сельских поселений общины Апаран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Արագածոտնի մարզ Ապարանի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ՀՀ-ԱՄ-ԱՀ-ԷԱՃԱՊՁԲ-101/25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haykhovsepyanhv@mail.ru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стульев для нужд актовых залов сельских поселений общины Апаран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2025.09.23.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ՀՀ-ԱՄ-ԱՀ-ԷԱՃԱՊՁԲ-101/25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ՀՀ-ԱՄ-ԱՀ-ԷԱՃԱՊՁԲ-101/25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ՀՀ-ԱՄ-ԱՀ-ԷԱՃԱՊՁԲ-101/25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ՀՀ-ԱՄ-ԱՀ-ԷԱՃԱՊՁԲ-101/25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Արագածոտնի մարզ Ապարանի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"ՀՀ-ԱՄ-ԱՀ-ԷԱՃԱՊՁԲ-101/25"*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"ՀՀ-ԱՄ-ԱՀ-ԷԱՃԱՊՁԲ-101/25"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ՀՀ-ԱՄ-ԱՀ-ԷԱՃԱՊՁԲ-101/25*.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ՀՀ-ԱՄ-ԱՀ-ԷԱՃԱՊՁԲ-101/25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"ՀՀ-ԱՄ-ԱՀ-ԷԱՃԱՊՁԲ-101/25"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ՀՀ-ԱՄ-ԱՀ-ԷԱՃԱՊՁԲ-101/25*.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ՀՀ-ԱՄ-ԱՀ-ԷԱՃԱՊՁԲ-101/25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Изготовлены из металлической трубы квадратного и овального сечения, все металлические гнутые детали гнуты на специальном оборудовании, обтянуты высококачественной губкой EL2036 толщиной 40 мм и обтянуты высококачественной декоративной/велюровой/тканью, основание спинки и сиденья изготовлены из гнутой фанеры толщиной 10 мм, подлокотники обтянуты мягкой тканью и отогнуты к сиденью, общая высота стула 820-850 мм, высота спинки 430-450 мм, размер сиденья 500*500 мм, наклон спинки от сиденья 105-110 градусов. Металлические детали окрашены высокотермостойкой порошковой краской. Цвет согласовывается с Заказчиком. Внешний вид стульев для ориентации участника представлен на приложенном фото. В случае расхождений между чертежом и техническим заданием, необходимо руководствоваться техническим заданием. Изделие, включая материалы, использованные для его изготовления, должно быть новым и не бывшим в употреблении. Доставка и разгрузка на склад осуществляется Продавцом за свой счёт. Гарантийный срок устанавливается 365 календарных дней с даты подписания акта приёмки-передачи.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70-й календарный день со дня вступления в силу соглашения, заключенного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