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2025 թվականի կարիքների համար ավտոկլավների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 դասի ավտոկլավ, հորիզոնական 
Խցիկի ծավալը՝ 40-45լ, խցիկը չժանգոտվող պողպատից
Ստերիլիզացիայի ջերնաստիճանային ռեժիմ 105-135 ցելսիուս
Սենսորային էկրան
Ստերիլիզացիայի ժամանակը մինչև 20 րոպե, վակումային չորացում
Ստերիլիզացիայի ռեժիմները՝ 4 և ավելի , ցանկալի է ունենա արագ ցիկլի ռեժիմ, երաշխիքը ոչ պակաս քան 365 օրացույցային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25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համաձայնագիրն ուժի մեջ մտնելու օրվանից առաջին մատակարարումը  20 օրացուցային 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