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գրատախտակի ձեռքբերման նպատակով ԿԾԿԾԻԳ-ԷԱՃԱՊՁԲ-25/27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գրատախտակի ձեռքբերման նպատակով ԿԾԿԾԻԳ-ԷԱՃԱՊՁԲ-25/27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գրատախտակի ձեռքբերման նպատակով ԿԾԿԾԻԳ-ԷԱՃԱՊՁԲ-25/27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գրատախտակի ձեռքբերման նպատակով ԿԾԿԾԻԳ-ԷԱՃԱՊՁԲ-25/27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4.5602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449.96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900001044172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«ԿԾԿԾԻԳ-ԷԱՃԱՊՁԲ-25/27»*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«ԿԾԿԾԻԳ-ԷԱՃԱՊՁԲ-25/27»*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Մագնիսային՝ կավճային 5 հարթությամբ,
չափսը՝  (L) 3000 х (H) 1000 մմ:
Գույնը` կանաչ, բաղկացած 4 հատ շառնիրային պետլյաներով (ծխնիներ)  իրար ամրացված 3 էլեմենտից`  180 աստիճան պտտման հնարավորությամբ, եզրակալված ալյումինե պրոֆիլով:
Միաժամանակ, մատակարարը դպրոցներում պետք է գրատախտակները ամրացնի համապատասխան դասասենյակների պատերին` հատակից 95 սմ բարձրությամբ: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