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ԿՄՀՔ-ԷԱՃԱՊՁԲ-25/50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hամայնքապետարանի կարիքների համար «ԿՄՀՔ-ԷԱՃԱՊՁԲ-25/50» ծածկագրով լեդ էկրանի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ԿՄՀՔ-ԷԱՃԱՊՁԲ-25/50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hամայնքապետարանի կարիքների համար «ԿՄՀՔ-ԷԱՃԱՊՁԲ-25/50» ծածկագրով լեդ էկրանի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hամայնքապետարանի կարիքների համար «ԿՄՀՔ-ԷԱՃԱՊՁԲ-25/50» ծածկագրով լեդ էկրանի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ԿՄՀՔ-ԷԱՃԱՊՁԲ-25/50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hամայնքապետարանի կարիքների համար «ԿՄՀՔ-ԷԱՃԱՊՁԲ-25/50» ծածկագրով լեդ էկրանի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ԿՄՀՔ-ԷԱՃԱՊՁԲ-25/50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ԿՄՀՔ-ԷԱՃԱՊՁԲ-25/50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«ԿՄՀՔ-ԷԱՃԱՊՁԲ-25/50»*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ԿՄՀՔ-ԷԱՃԱՊՁԲ-25/50*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«ԿՄՀՔ-ԷԱՃԱՊՁԲ-25/50»*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ԿՄՀՔ-ԷԱՃԱՊՁԲ-25/50*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Տեղադրման տեսակը- դրսի ֆիքսված տեղադրում
LED Էկրանի արտաքին չափսերը՝ լայնություն-  առնվազն 10մ
բարձրություն – առնվազն 3,5 մ
Առավելագույն պայծառություն – 5500 cd/sqm արհեստական լուսավորություն /քառակուսի սմ/
Պաշտպանության աստիճանը առնվազն IP 65
 Դիտման անկյուն – հորիզոնական – 1400 ուղղահայաց 1400
 Պայծառության կարգավորում – RGB 256
HDMI – 1,4 Input,
1 x Signage Input, 
RJ45 Output Ports,
LED վերահսկիչ,
Գույների թիվ – 4096 մոխրագույն (grey levels), ցուցադրվող (displlaying)՝ 16.7 մլն
Էկրանի կետայնություն- 4․81 մմ
Պիքսելների կոնֆիգուրացիա (ձև)- 3in1
 Մուտքային լարում – AC 200v-240v (volt)
 Դեֆեկտների կամ արատների գնահատում -«0.00001
Խափանումների միջին ժամանակահատված - »10000 ժամ
Աշխատանքի տևողություն - »100000 ժամ(50%պայծառություն)
Խոնավության կարգավորում – 10%-95%
Էկրանի աշխատանքը դրսի ջերմաստիճանի պայմաններում -  -400C -+650C
Ծրագրային լեզուն- ռուսերեն
Ծրագիրն ունենա հայերեն ֆոնտի ապահովում:
Մոնտաժային աշխատանքները և ծրագրային ապահովումը պետք է իրականացվի մատակարարի կողմից և վերջինիս միջոցներով:
Ապրանքը պետք է լինի նոր և չօգտագործված
Երաշխիքային ժամկետը – 5 տարի
Լեդ էկրանը տեղադրվելու ՀՀ ք. Հրազդան, Սահմանադրության հրապարակ, 1 վարչական շենքի 7-րդ հարկի տանիքում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