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ՎԱԿՏՄ-ԷԱՃԱՊՁԲ-26/1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Կրթության տեսչական մարմնի կարիքների համար` ՎԱԿՏՄ-ԷԱՃԱՊՁԲ-26/1 ծածկագրով ռեգուլյար տեսակի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Ադոնց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lilit.adonts@gov.am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ՎԱԿՏՄ-ԷԱՃԱՊՁԲ-26/1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Կրթության տեսչական մարմնի կարիքների համար` ՎԱԿՏՄ-ԷԱՃԱՊՁԲ-26/1 ծածկագրով ռեգուլյար տեսակի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Կրթության տեսչական մարմնի կարիքների համար` ՎԱԿՏՄ-ԷԱՃԱՊՁԲ-26/1 ծածկագրով ռեգուլյար տեսակի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ՎԱԿՏՄ-ԷԱՃԱՊՁԲ-26/1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lilit.adonts@gov.am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Կրթության տեսչական մարմնի կարիքների համար` ՎԱԿՏՄ-ԷԱՃԱՊՁԲ-26/1 ծածկագրով ռեգուլյար տեսակի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4.6143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453.25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ՎԱԿՏՄ-ԷԱՃԱՊՁԲ-26/1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ՎԱԿՏՄ-ԷԱՃԱՊՁԲ-26/1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«ՎԱԿՏՄ-ԷԱՃԱՊՁԲ-26/1»*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ՎԱԿՏՄ-ԷԱՃԱՊՁԲ-26/1*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«ՎԱԿՏՄ-ԷԱՃԱՊՁԲ-26/1»*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ՎԱԿՏՄ-ԷԱՃԱՊՁԲ-26/1*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 8.16 Սույն Պայմանագիրն ուժի մեջ մտնելուց հետո պայմանագրով սահմանված Պատվիրատուի իրավունքները և պարտավորությունները փոխանցվում են Կրթության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 45-ից մինչև 100 կՊա, կապարի պարունակությունը 5մգ/դմ3 -ից ոչ ավելի, բենզոլի ծավալային մասը 1% -ից ոչ ավելի, խտությունը 15  ° 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   10% , եռաբութիլ սպիրտ-7%, եթերներ ( C5 և ավելի) 15%, այլ օքսիդիչներ-10%, անվտանգությունը՝ ըստ ՄՄ ՏԿ 013/2011 Մաքսային միության տեխնիկական կանոնակարգի։Մատակարարումը կտրոնային:
•	Ապրանքի որակի սերտիֆիկատի առկայությունը պարտադիր է.
•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0051, Կոմիտաս 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համաձայնագիրը ուժի մեջ մտնելու օրվանից 21-օրդ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0051, Կոմիտաս 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համաձայնագիրը ուժի մեջ մտնելու օրվանից 80-րդ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0051, Կոմիտաս 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համաձայնագիրը ուժի մեջ մտնելու օրվանից 170-րդ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0051, Կոմիտաս 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համաձայնագիրը ուժի մեջ մտնելու օրվանից 260-րդ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