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քիմիայի ֆակուլտետի կարիքների համար քիմիական նյութերի և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Մովսես Թովմասյան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քիմիայի ֆակուլտետի կարիքների համար քիմիական նյութերի և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քիմիայի ֆակուլտետի կարիքների համար քիմիական նյութերի և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քիմիայի ֆակուլտետի կարիքների համար քիմիական նյութերի և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ԵՊՀ-ԷԱՃԱՊՁԲ-25/210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ԵՊՀ-ԷԱՃԱՊՁԲ-25/210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կարքիների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իրականացվում է սույն պայմանագրի վճարման ժամանակացույցով սահմանված ժամկետում 5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Պատասխանատու ստորաբաժանում՝ Քիմիայի ֆակուլտետ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«Quercetin HPLC»: Այլ անվանումները՝ 2-(3,4-Dihydroxyphenyl)-3,5,7-trihydroxy-4H-1-benzopyran-4-one, 3,3′,4′,5,6-Pentahydroxyflavone: CAS համար՝ 117-39-5, Մաքրությունը՝ ≥95 % (HPLC), solid, anticancer agent; Sigma-Aldrich; SKU` Q4951; 10 գ գործարանային փակ փաթեթավորմամբ, մակնշված: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«Rutin hydrate HPLC»: Այլ անվանումները՝ Quercetin-3-rutinoside hydrate, Vitamin P hydrate: CAS համար՝ 207671-50-9, Մաքրությունը՝ ≥94% (HPLC), powder; Sigma-Aldrich; SKU` R5143; 50 գ գործարանային փակ փաթեթավորմամբ, մակնշված: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Վիտամին C HPLC: L-Ascorbic acid, L-Threoascorbic acid, Antiscorbutic factor, Vitamin C; CAS համար՝ 50-81-7; Մաքրությունը՝ Pharmaceutical Secondary Standard; Certified Reference Material; Sigma-Aldrich; SKU` PHR1008; 1 գ գործարանային փակ փաթեթավորմամբ, մակնշված: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փոշի կամ գրանուլներ-4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«8-(3-Chlorostyryl)caffeine» HPLC: Այլ անվանումները՝ 1,3,7-Trimethyl-8-(3-chlorostyryl)xanthine, CSC: CAS համար՝ 147700-11-6, Մաքրությունը՝ ≥98 % (HPLC), solid, Sigma-Aldrich; SKU` C197; 25 մգ գործարանային փակ փաթեթավորմամբ, մակնշված: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Ատոմային աբսորբցիոն սպեկտրոսկոպիայի համապատասխան ստանդարտների հավաքածու: Հավաքածուն իր մեջ ներառում է. 1. “Manganese Standard for AAS”; 1 g/L Mn in nitric acid (nominal concentration); Sigma-Aldrich; SKU` 77036; 250 մլ: 2. “Copper Standard for AAS”; 1 g/L Cu in nitric acid (nominal concentration); Sigma-Aldrich; SKU` 38996; 250 մլ: 3. “Iron Standard for AAS”; 1 g/L Fe in nitric acid (nominal concentration); Sigma-Aldrich; SKU` 16596; 250 մլ; 4. “Zinc Standard for AAS”; 1 g/L Zn in nitric acid (nominal concentration); Sigma-Aldrich; SKU` 18827; 250 մլ; 5. “Antimony Standard for AAS”; 1 g/L Sb in nitric acid (nominal concentration); Sigma-Aldrich; SKU` 94117; 250 մլ; 6. “Mercury Standard for AAS”; 1 g/L Hg in nitric acid (nominal concentration); Sigma-Aldrich; SKU` 16482; 100 մլ; 7. “Chromium Standard for AAS”; 1 g/L Cr in nitric acid (nominal concentration); Sigma-Aldrich; SKU` 02733; 250 մլ; 8. “Cadmium Standard for AAS”; 1 g/L Cd in nitric acid (nominal concentration); Sigma-Aldrich; SKU` 51994; 250 մլ: Անհատական, գործարանային փակ փաթեթավորմամբ, մակնշված: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ապակյա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Վյուրցի կցափող: Ջերմակայուն ապակուց,  Ստանդարտ  ոչ հայելայի շլիֆերով՝ վերևի շլիֆը 14.5(մուֆտա)/ սառնարանին միացողը 14.5(կեռն)/կոլբին միացողը 14.5(կեռն)  շլիֆերի վերին հատվածում առնվազն 2մմ հաստության լայնացած գոտու առկայություն, պատի հաստությունը առնվազն 2մմ, բորոսիլիկատային ապակուց, ծավալային ընդարձակման գործակիցը ոչ ավել քան 3.3x10-6 1/K, փաթեթավորված: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մետաղական շտատիվ - հավաքածու: Մետաղական փոշեներկված տակդիրով, ռետինե/սիլիկոնային տակդիրներով, չժանգոտվող պողպատից պատրաստված ձողով, կոմպլեկտում բռնիչի, թաթիկի և ամրանների առկայությամբ: Բարձրությունը՝ 70-80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38431320/504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Լաբորատորիայի կաթոցիչներ և պարագաներ-2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 իրենից ներկայացնում է՝ Սիլիկոնային խողովակ: Չօգտագործված, ներսի տրամագիծը՝ 8 մմ, պատերի հաստությունը՝ 1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½, ԵՊՀ, Քիմիայի ֆակուլտետի մասնաշենք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կնքված համաձայնագրի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