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ՎԱՇՎՏՄ-ԷԱՃԱՊՁԲ-26/3 ծածկագրով`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ՎԱՇՎՏՄ-ԷԱՃԱՊՁԲ-26/3 ծածկագրով`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ՎԱՇՎՏՄ-ԷԱՃԱՊՁԲ-26/3 ծածկագրով`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ՎԱՇՎՏՄ-ԷԱՃԱՊՁԲ-26/3 ծածկագրով`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 Պատվիրատուի ղեկավարի պատճառաբանված որոշումը լիազորված մարմինը հրապարակում է տեղեկագրում։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Անվտանգության մակնշումը և փաթեթավորումը՝ ըստ գործող օրենքի։ Մատակարարումը` կտրոնային Կտրոններն ուժի մեջ պետք է լինեն մատակարարման օրվան հաջորդող առնվազն 12 ամսվա ընթացքում ևդրանք պետք է սպասարկվեն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