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ՀՀ-ԱՄ-ԱՀ-ԷԱՃԱՊՁԲ-101/25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համայնքի գյուղական բնակավայրերի հանդիսությունների  սրահների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ՀՀ-ԱՄ-ԱՀ-ԷԱՃԱՊՁԲ-101/25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համայնքի գյուղական բնակավայրերի հանդիսությունների  սրահների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համայնքի գյուղական բնակավայրերի հանդիսությունների  սրահների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ՀՀ-ԱՄ-ԱՀ-ԷԱՃԱՊՁԲ-101/25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համայնքի գյուղական բնակավայրերի հանդիսությունների  սրահների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ՀՀ-ԱՄ-ԱՀ-ԷԱՃԱՊՁԲ-101/25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ՀՀ-ԱՄ-ԱՀ-ԷԱՃԱՊՁԲ-101/25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«ՀՀ-ԱՄ-ԱՀ-ԷԱՃԱՊՁԲ-101/25»*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Ապարանի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ՀՀ-ԱՄ-ԱՀ-ԷԱՃԱՊՁԲ-101/25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900455101353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«ՀՀ-ԱՄ-ԱՀ-ԷԱՃԱՊՁԲ-101/25»*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«ՀՀ-ԱՄ-ԱՀ-ԷԱՃԱՊՁԲ-101/25»*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ՀՀ-ԱՄ-ԱՀ-ԷԱՃԱՊՁԲ-101/25*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ՀՀ-ԱՄ-ԱՀ-ԷԱՃԱՊՁԲ-101/25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«ՀՀ-ԱՄ-ԱՀ-ԷԱՃԱՊՁԲ-101/25»*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ՀՀ-ԱՄ-ԱՀ-ԷԱՃԱՊՁԲ-101/25*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ԱՊԱՐԱՆԻ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  Պատրաստված է քառանկյուն  մետաղական խողովակից 20x20մմ պատերի հաստությումը՝ 1.2- 1.5մմ , մետաղական բոլոր թեքություն ունեցող մասերը լինեն ճկված հատուկ սարքավորման միջոցով, պաստառապատված բարձրորակ սպունգով EL2036, հաստությունը 40 մմ և պաստառապատված բարձրորակ դեկորատիվ/վիլյուր/ կտորից, մեջքի և նստատեղի հիմքը պատրաստված լինի  10մմ հաստությամբ ֆաներայից, աթոռի ընդհանուր բարձրությունը՝ 820-850մմ, թիկնակի բարձրությունը՝ 430-450մմ, աթոռի նստատեղի չափսերն են՝ 400*400մմ, մեջքը նստատեղից ունենա 105-110 թեքության աստիճան: Մետաղական մասերը լինեն ներկված բարձր ջերմակայուն փոշեներկման  եղանակով: Գործվածքի և հիմքի միացումները նախագծվում են այնպես, որ չառաջանա խաղ կամ դեֆորմացիա՝ օգտագործելով պրեսային ամրացումներ և բարձրորակ խցկանքային համակարգեր, որոնք փակվում են ծայրամասերում՝ բացառելով շերտազատման կամ ճեղքման ռիսկերը: Գույնը համաձայնեցնել Պատվիրատուի հետ: Կից նկարում ներկայացվում է  աթոռների տեսքը՝ մասնակցին կողմնորոշելու համար: Նկարում և տեխնիկական բնութագրում առկա անհամապատասխանությունների դեպքում առաջնորդվել տեխնիկական բնութագրով: Ապարանքը՝ ներառյալ պատրաստման համար օգտագործվող նյութերը պետք է լինի նոր և չօգտագործված: Մատակարարումը և բեռնաթափումը պահեստ իրականացվում է Վաճառողի կողմից սեփական միջոցներով: Երաշխիքային ժամկետ է սահմանվում ապրանքը հանձման-ընդունման ակտի ստորագրման օրվանից հաշվաշ 365 օրացույցային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մտնելու օրվանից հաշված  70-րդ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