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Արագածոտնի մարզ Ապարանի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Арагацотнская область, город Апаран, улица Баграмяна 26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стульев для нужд актовых залов сельских поселений общины Апаран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Հովսեփյան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haykhovsepyanhv@mail.ru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094231893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Արագածոտնի մարզ Ապարանի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ՀՀ-ԱՄ-ԱՀ-ԷԱՃԱՊՁԲ-101/25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стульев для нужд актовых залов сельских поселений общины Апаран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стульев для нужд актовых залов сельских поселений общины Апаран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Արագածոտնի մարզ Ապարանի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ՀՀ-ԱՄ-ԱՀ-ԷԱՃԱՊՁԲ-101/25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haykhovsepyanhv@mail.ru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стульев для нужд актовых залов сельских поселений общины Апаран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2025.09.30.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ՀՀ-ԱՄ-ԱՀ-ԷԱՃԱՊՁԲ-101/25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ՀՀ-ԱՄ-ԱՀ-ԷԱՃԱՊՁԲ-101/25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ՀՀ-ԱՄ-ԱՀ-ԷԱՃԱՊՁԲ-101/25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ՀՀ-ԱՄ-ԱՀ-ԷԱՃԱՊՁԲ-101/25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Արագածոտնի մարզ Ապարանի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"ՀՀ-ԱՄ-ԱՀ-ԷԱՃԱՊՁԲ-101/25"*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"ՀՀ-ԱՄ-ԱՀ-ԷԱՃԱՊՁԲ-101/25"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ՀՀ-ԱՄ-ԱՀ-ԷԱՃԱՊՁԲ-101/25*.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ՀՀ-ԱՄ-ԱՀ-ԷԱՃԱՊՁԲ-101/25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"ՀՀ-ԱՄ-ԱՀ-ԷԱՃԱՊՁԲ-101/25"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ՀՀ-ԱՄ-ԱՀ-ԷԱՃԱՊՁԲ-101/25*.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ՀՀ-ԱՄ-ԱՀ-ԷԱՃԱՊՁԲ-101/25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Изготовлены из квадратной металлической трубы 20х20 мм, толщина стенки 1,2-1,5 мм, все металлические детали с изгибами должны быть гнуты на специальном оборудовании, обиты высококачественной губкой EL2036 толщиной 40 мм и обиты высококачественной декоративной/велюровой/тканью, основание спинки и сиденья должно быть изготовлено из фанеры толщиной 10 мм, общая высота стула 820-850 мм, высота спинки 430-450 мм, размеры сиденья стула 400*400 мм, спинка имеет наклон 105-110 градусов относительно сиденья. Металлические детали должны быть окрашены высокотермостойкой порошковой краской. Соединения ткани и основания выполнены без люфта и деформации, с использованием кнопок и высококачественных ячеичных систем, которые закрываются по краям, исключая риски расслоения и трещин. Цвет согласовывается с Заказчиком. Внешний вид стульев представлен на приложенном фото для ориентации участника. В случае расхождений между фото и техническими характеристиками, необходимо руководствоваться техническими характеристиками. Изделие, включая использованные материалы, должно быть новым и не бывшим в употреблении. Доставка и разгрузка на склад осуществляется Продавцом за свой счёт. Гарантийный срок составляет 365 календарных дней с даты подписания акта приёмки-передачи изделия.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70-й календарный день со дня вступления в силу соглашения, заключенного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ՀՀ-ԱՄ-ԱՀ-ԷԱՃԱՊՁԲ-101/25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