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ՏՄԻՀ-ԷԱՃ-ԾՁԲ-25/33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համայնքի 2026 թվականի կարիքների համար ամանորյա ձևավորման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ՏՄԻՀ-ԷԱՃ-ԾՁԲ-25/33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համայնքի 2026 թվականի կարիքների համար ամանորյա ձևավորման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համայնքի 2026 թվականի կարիքների համար ամանորյա ձևավորման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ՏՄԻՀ-ԷԱՃ-ԾՁԲ-25/33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համայնքի 2026 թվականի կարիքների համար ամանորյա ձևավորման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2025.10.03.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ՏՄԻՀ-ԷԱՃ-ԾՁԲ-25/33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ՏՄԻՀ-ԷԱՃ-ԾՁԲ-25/33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ՏՄԻՀ-ԷԱՃ-ԾՁԲ-25/33»*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ՏՄԻՀ-ԷԱՃ-ԾՁԲ-25/33»*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ըաստ կից հավելվածի և լուսանկարների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