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25/127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ՀԱՊՀ-ԷԱԱՊՁԲ-25/27</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25/127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25/127</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25/127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