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ԱՄՄՀ-ԷԱՃԱՊՁԲ-25/129</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мг/дм3, объемная доля бензола - не более 1%, плотность при температуре 15 градусов Цельсия - от 720 до 775 кг/дм3, содержание серы - не более 10 мг/кг, массовая доля кислорода - не более 2,7%, объемная доля окислителей - не более: метанола - 3%, этанола - 5%, изопропилового спирта - 10%, изобутилового спирта - 10%, третбутилового спирта - 7%, эфиров (С5 и выше) - 15%, других окислителей - 10%, безопасность - в соответствии с действующими нормами и правилами. Товар доставляется по купону, конкретный адрес доставки согласовывается с Покупателем. Срок действия талона, указанный на купоне, должен быть не менее 2027 года. С 1 апреля 2020 года талоны должны обслуживаться не менее чем на 3 автозаправочных станциях на административной территории общины Масис и не менее чем на двух автозаправочных станциях в каждом регионе Республики Армения, включая г.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