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nork.procurement@nork.am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nork.procurement@nork.am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ՆՍԾՏԻԿ-ԷԱՃԱՊՁԲ-26/01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ՆՍԾՏԻԿ-ԷԱՃԱՊՁԲ-26/01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սոցիալական ծառայությունների տեխնոլոգիական և իրազեկման կենտրոն»  հիմնադրամի  ԿԱՐԻՔՆԵՐԻ ՀԱՄԱՐ վառելիքի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°Cջերմաստիճանում՝ 720-775 կգ/մ3, ծծմբիպարունակությունը 10 մգ/կգ-ից ոչ ավելի, թթվածնի զանգվածային մասը 2,7%-ից ոչ ավելի, օքսիդիչների ծավալային մասը, ոչ ավելի` մեթանոլ-3%, էթանոլ-5%,իզոպրոպիլ սպիրտ-10%, իզոբուտիլ սպիրտ-10%,եռաբութիլ սպիրտ-7%, եթերներ (C5 և ավելի)-15%, այլօքսիդիչներ-10%,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գնորդի պահանջարկին համապատասխան ծավալի կտրոններով: Կտրոնները ունենան փոխարինման հնարավորություն (տվյալ տարում չօգտագործելու դեպքում) և օգտագործելի լինեն ՀՀ ողջ տարածքում: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