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30 դպրոցների համար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30 դպրոցների համար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30 դպրոցների համար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30 դպրոցների համար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ՀՀԿԳՄՍՆԷԱՃԱՊՁԲ-25/172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ՀՀԿԳՄՍՆԷԱՃԱՊՁԲ-25/172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Մուտքային լարումը փոփոխական 145~295 Վոլտ, միաֆազ, ավտոմատ լարման կարգավորում (AVR), հաճախականությունը 50-60Hz ± 5%, Ելքային լարումը փոփոխական 220V ± 10%, Հզորութունը առնվազն 800 ՎԱ (480 Վատտ), անցման ժամանակը ≤ 8 միլիվայրկյան, 2 հատ Schuko կամ 2 ունիվերսալ ելքային վարդակ, Վերալիցքավորման 90% հզորությունը՝ առավելագույնը 8 ժամվա ընթացքում, աշխատանքային թույլատրելի ջերմաստիճանը 0~40C, Հոսանքի լար, միցման լարը ներառված, ՀՀ ստանդարտներին համապատասխան: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կողմից: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