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топливо для нужд ЗАО "Чамбаракский центр здорове"т код ՃԱԿ-ԷԱՃԱՊՁԲ-25/17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ՃԱԿ-ԷԱՃԱՊՁԲ-25/17</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топливо для нужд ЗАО "Чамбаракский центр здорове"т код ՃԱԿ-ԷԱՃԱՊՁԲ-25/17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топливо для нужд ЗАО "Чамбаракский центр здорове"т код ՃԱԿ-ԷԱՃԱՊՁԲ-25/17</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топливо для нужд ЗАО "Чамбаракский центр здорове"т код ՃԱԿ-ԷԱՃԱՊՁԲ-25/17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Поставка: купон, предоставление возможности заправиться по купону во всех регионах РА, в том числе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55°С. Коксуемость в 10% осадке не более 0,3%. Вязкость при 400°С от 2,0 до 4,5 мм2/с. Температура помутнения не выше 5°С. Отпуск: по талонам. Отпуск: При наличии талонов обеспечить заправку во всех регионах Республики Армения, а также в городе Ереване.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составляет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Срок поставки не может быть позднее 25 декабря данного года. ** Адрес поставки товара: Т. Меци, 17, Гегаркуникская область, г. Чамбарак.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составляет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Срок поставки не может быть позднее 25 декабря данного года. ** Адрес поставки товара: Т. Меци, 17, Гегаркуникская область, г. Чамбарак.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