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777-Ա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777-Ա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կգ-անոց փաթեթներ։ Ցորենի ալյուրին բնորոշ, առանց  կողմնակի համի և հոտի: Բարձր կարգի: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կգ-անոց փաթեթներ։ Ցորենի ալյուրին բնորոշ, առանց  կողմնակի համի և հոտի: Բարձր կարգի: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կամ համարժեք, անվտանգությունը և մակնշումը՝ ըստ ՀՀ կառավարության 2006թ. հոկտեմբերի 19-ի N 1560-Ն որոշմամբ հաստատված ՙՄսի և մսամթերքի տեխնիկական կանոնակարգի՚ և ՙՍննդամթերքի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18 և 9,0% յուղի պարունակությամբ, թթվայնությունը` 210-240 0 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 82,5%,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կամ II տեսակների,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կոշտ և փափուկ ցորենից, ԳՕՍՏ 7022-97: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կաթնային, պոմադային, մրգային, դոնդողային, դոնդողամրգային, նշակարկանդային, գրիլյաժային, պրալինե հավելանյութերով։ Կախված կոնֆետի տեսակից խոնավության զանգվածային մասը` 4-25 %-ից ոչ ավել, ԳՕՍՏ 4570-93 կամ համարժեք, փաթեթավորումը` նրբաթիթեղի և թղթի մեջ, չփաթաթված` հատավոր, կշռածրարված տուփերով, խառը տեսականիով, ԳՕՍՏ 4570-93 կամ համարժեք։Անվտանգությունը` ըստ N 2-III-4.9-01-2010 հիգիենիկ նորմատիվների, իսկ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մանր աղ՝ բարձր տեսակի , յոդացված ՀՍՏ 239-2005 Պիտանելիության ժամկետը արտադրման օրվանից թչ պակաս 12 ամիս: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շաքարասնկերից, փակ և  մուգ փաթեթավորումով,100գ տուփերով:Պիտանելիության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