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բենզինի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բենզինի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բենզինի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բենզինի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Բենզինի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3 -ից ոչ ավելի, բենզոլի ծավալային մասը 1%-ից ոչ ավելի, խտությունը` 15°C ջերմաստիճանում՝ 720-ից մինչև 775 կգ/մ3 , ծծմբի պարունակությունը` 10 մգ/կգ-ից ոչ ավելի, թթվածնի զանգվածային մասը` 2,7%-ից ոչ ավելի, օքսիդիչների ծավալային մասը, ոչ ավելի` մեթանոլ-3%, էթանոլ -5%, իզոպրոպիլ սպիրտ -10%,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կանոնակարգի»:Մեքենաների լիցքավորումը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 նոյեմբեր,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