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շինարարական ապրանքներ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Յուղաներկերում թաղանթագոյացնող նյութի զանգվածային մասը պետք է լինի 20%-ից մինչև 34%, պայմանական մածուցիկու թյունը` ըստ B 3- 4 մածուցիկաչափի (20±0,5) °C, 65-160 վ, տարբեր երանգների, ԳՕՍՏ 10503-71, մակնշումը և փաթեթավորումը` ըստ ԳՕՍՏ 9980.3-86, ԳՕՍՏ 9980.4-2002։ Անվտանգությունը` ԳՕՍՏ 10503-71 ,  Անվտանգությունը` ԳՕՍՏ 10503-7 Փաթեթավորումը՝ գործարանային։Ապրանքը պետք է լինի նոր, չօգտագործված, գործարանային արտադրության, համապատասխան ծագման հավաստագրի առկայությամբ։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ընտրված ակրիլի կամ լատեքսի սոպոլիմերների հիմքի վրա, կիսափայլուն կամ փայլուն, ըստ պատվիրատուի պահանջի։ Փաթեթավորումը՝ գործարանային։Ապրանքը պետք է լինի նոր, չօգտագործված, գործարանային արտադրության, համապատասխան ծագման հավաստագրի առկայությամբ։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Պրոֆիլավոր, КП-25-0,50մմ.  Պրոֆիլային լայնություն՝ 1150 մմ, Օգտակար Լայնություն՝ 1080 մ։ Ապրանքը նախապես համաձայնեցնել պատվիրատուի հետ։Ապրանքը պետք է լինի նոր, չօգտագործված, գործարանային արտադրության, համապատասխան ծագման հավաստագրի առկայությամբ։
Ապրանքի մատակարարումը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