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2025.09.30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ՀՓ-ԷԱՃԱՇՁԲ-25/77</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ՀԱՅՓՈՍՏ ՓԲԸ</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(адрес заказчика)</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рекламного щита для нужд ЗАО «Айпост»</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Անուշ Այվազյան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gnumner@haypost.am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095984281</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ՀԱՅՓՈՍՏ ՓԲԸ</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ՀՓ-ԷԱՃԱՇՁԲ-25/77</w:t>
      </w:r>
      <w:r w:rsidRPr="00F23835">
        <w:rPr>
          <w:rFonts w:ascii="Calibri" w:hAnsi="Calibri" w:cs="Times Armenian"/>
          <w:i/>
          <w:lang w:val="ru-RU"/>
        </w:rPr>
        <w:br/>
      </w:r>
      <w:r w:rsidR="00A57090" w:rsidRPr="00F23835">
        <w:rPr>
          <w:rFonts w:ascii="Calibri" w:hAnsi="Calibri" w:cstheme="minorHAnsi"/>
          <w:szCs w:val="20"/>
          <w:lang w:val="af-ZA"/>
        </w:rPr>
        <w:t>2025.09.30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ՀԱՅՓՈՍՏ ՓԲԸ</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ՀԱՅՓՈՍՏ ՓԲԸ</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рекламного щита для нужд ЗАО «Айпост»</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рекламного щита для нужд ЗАО «Айпост»</w:t>
      </w:r>
      <w:r w:rsidR="00410048" w:rsidRPr="00F23835">
        <w:rPr>
          <w:rFonts w:ascii="Calibri" w:hAnsi="Calibri"/>
          <w:b/>
          <w:lang w:val="ru-RU"/>
        </w:rPr>
        <w:t xml:space="preserve">ДЛЯ НУЖД </w:t>
      </w:r>
      <w:r w:rsidRPr="00871866">
        <w:rPr>
          <w:rFonts w:ascii="Calibri" w:hAnsi="Calibri" w:cs="Calibri"/>
          <w:b/>
          <w:lang w:val="af-ZA"/>
        </w:rPr>
        <w:t>ՀԱՅՓՈՍՏ ՓԲԸ</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ՀՓ-ԷԱՃԱՇՁԲ-25/77</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gnumner@haypost.am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рекламного щита для нужд ЗАО «Айпост»</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с объёмными буквами с подсветкой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382.75</w:t>
      </w:r>
      <w:r w:rsidRPr="00F23835">
        <w:rPr>
          <w:rFonts w:ascii="Calibri" w:hAnsi="Calibri"/>
          <w:szCs w:val="22"/>
        </w:rPr>
        <w:t>драмом, российский рубль</w:t>
      </w:r>
      <w:r w:rsidR="004F59D5" w:rsidRPr="004F59D5">
        <w:rPr>
          <w:rFonts w:ascii="Calibri" w:hAnsi="Calibri" w:cs="Calibri"/>
          <w:szCs w:val="22"/>
          <w:lang w:val="af-ZA"/>
        </w:rPr>
        <w:t>4.6259</w:t>
      </w:r>
      <w:r w:rsidRPr="00F23835">
        <w:rPr>
          <w:rFonts w:ascii="Calibri" w:hAnsi="Calibri"/>
          <w:szCs w:val="22"/>
        </w:rPr>
        <w:t xml:space="preserve"> драмом, евро </w:t>
      </w:r>
      <w:r w:rsidR="00280D4A" w:rsidRPr="00B37B19">
        <w:rPr>
          <w:rFonts w:ascii="Calibri" w:hAnsi="Calibri" w:cs="Calibri"/>
          <w:szCs w:val="22"/>
          <w:lang w:val="af-ZA"/>
        </w:rPr>
        <w:t>448.54</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2025.10.13.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ՀՓ-ԷԱՃԱՇՁԲ-25/77</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001C1C48" w:rsidRPr="001C1C48">
        <w:rPr>
          <w:rFonts w:ascii="Calibri" w:hAnsi="Calibri" w:cstheme="minorHAnsi"/>
          <w:lang w:val="ru-RU"/>
        </w:rPr>
        <w:t>ՀՓ-ԷԱՃԱՇՁԲ-25/77</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"ՀՓ-ԷԱՃԱՇՁԲ-25/77"</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ՀԱՅՓՈՍՏ ՓԲԸ*(далее — Заказчик) процедуре закупок под кодом ՀՓ-ԷԱՃԱՇՁԲ-25/77*.</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"ՀՓ-ԷԱՃԱՇՁԲ-25/77"</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ՀԱՅՓՈՍՏ ՓԲԸ*(далее — Заказчик) процедуре закупок под кодом ՀՓ-ԷԱՃԱՇՁԲ-25/77*.</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ՀՓ-ԷԱՃԱՇՁԲ-25/77</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с объёмными буквами с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Объёмные буквы на армянском с подсветкой из органического стекла под номером 128, размером 1600х337,5х60 мм. Надпись на армянском ՀայՓոստ должны быть объёмными, с подсветкой, 
а буквы "Հայաստանի Փոստ"  должны быть изготовлены из органического стекла указанного цвета, без подсветки, а так же надпись на английском HayPost размером 1448x307x60 мм необходимо изготовить из органического стекла под номером 327, объёмными светящимися буквами, а надпись Post of Armenia из органического стекла указанного цвета.
Указанные надписи собираются на каркасе со стержнями с одинаковым профилем, который необходимо покрасить в цвет созвучный с цветом камня здания, и сделать их максимально незаметным. Файл для изготовления прикреплён.
Указанные вывески необходимо разместить на фасаде здания согласно заданному чертежу.
Транспортировка, разгрузка и установка вывесок осуществляется поставщиком. Гарантийный срок 1 год.
С образцами необходимо ознакомиться в почтовых отделениях Айпост. Все материалы должны быть согласованны с заказчиком.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1502 п/о, Дарбас 3510 п/о и Арзни 2212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31-й день после вступления Соглашения в силу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с объёмными буквами с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