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կարիքների համար հավի ձվի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կարիքների համար հավի ձվի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կարիքների համար հավի ձվի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կարիքների համար հավի ձվի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ենթակայության տակ գտնվող մանկապարտեզների կարիքների համար հավի ձվի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