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D07AC13, R01AD09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գրիզեոֆուլվին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d10af01, g01aa10, j01ff01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տրօքսեռուտին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care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վալերատ), գենտամիցին (գենտամիցինի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դինատրիում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մեթոտրեկսատ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օքսիտետրացիկլին (օքսիտետրացիկլինի հիդրոքլորիդ)  D07CA01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D07AC13, R01AD09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գրիզեոֆուլվին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d10af01, g01aa10, j01ff01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տրօքսեռուտին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Kin care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վալերատ), գենտամիցին (գենտամիցինի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 դինատրիում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մեթոտրեկսատ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բորաթթվի  ջրային լուծույթ 4%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