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Վ.Սարգսյան 3/8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Ահարոնյան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010594104, 010593945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gnumner@moj.am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արդարադատության նախարարության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արդարադատության նախարարության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gnumner@moj.am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արդարադատության նախարարության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10:15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ՀՀԱՆ-ԷԱՃԱՊՁԲ-25/19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ՀՀԱՆ-ԷԱՃԱՊՁԲ-25/19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նախարարություն*  (այսուհետ` Պատվիրատու) կողմից կազմակերպված` ՀՀԱՆ-ԷԱՃԱՊՁԲ-25/19*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- 02506264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Արտաքին տեսքը` մաքուր և պարզ, օգտանային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5մգ/դմ3-ից ոչ ավելի, բենզոլի ծավալային մասը 1%-ից ոչ ավելի, խտությունը` 150C ջերմաստիճանում՝ 720-ից մինչև 775կգ/մ3,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 այլ օքսիդիչներ-10%,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ՀՀ տարածքում գործող 5 և/կամ 10 և/կամ 20 լիտրանոց կտրոնների տեսքով: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հասցեն ք. Երևան, Վ. Սարգսյան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