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ՀՓ-ԷԱՃԱՊՁԲ-25/78</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шин</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выпуска 2024-2025 гг.
Индекс нагрузки не менее 155/R12 C:
Условные показатели установлены «Техническим регламентом пневматических шин», утвержденным Постановлением Правительства РА № 1558-Н от 11.11.2004 г. Установка и регулировка колес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потребителя.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185/65 R15.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потребителя.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185/65 R15.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потребителя.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195R/14C.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заказчика.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215/75R 16C.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заказчика.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годов.
Индекс нагрузки не менее 185/65R 14.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потребителя.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215/65R 16.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потребителя.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315/80R 22,5.
Условные показатели установлены «Техническим регламентом пневматических шин», утвержденным Постановлением Правительства РА № 1558-Н от 11.11.2004 г. Установка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заказчика.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315/80R 22,5.
Условные показатели установлены «Техническим регламентом пневматических шин», утвержденным Постановлением Правительства РА № 1558-Н от 11.11.2004 г. Установка и регулировка шин осуществляется поставщиком. Весь товар должен быть неиспользованным. Доставка осуществляется за счет поставщика.
Прочие условия:
Шины зимние, бескамерные, выпуска 2024-2025 гг.
Индекс нагрузки не менее 195/70R 15LT.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заказчика.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175/70R 14.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заказчика.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бескамерные, выпуска 2024-2025 гг.
Индекс нагрузки не менее 145/70R 12.
Условные показатели установлены «Техническим регламентом пневматических шин», утвержденным Постановлением Правительства РА № 1558-Н от 11.11.2004 г. Монтаж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заказчика.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передняя шина без камеры, производства 2024-2025 гг.
Индекс нагрузки не менее 245/70R19.5.
Условные показатели установлены «Техническим регламентом пневматических шин», утвержденным Постановлением Правительства РА № 1558-Н от 11.11.2004 г. Установка и регулировка колес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подачи заявки потребителем.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задняя шина, бескамерная, производства 2024-2025 гг.
Индекс нагрузки не менее 245/70R19.5.
Условные показатели установлены «Техническим регламентом пневматических шин», утвержденным Постановлением Правительства РА № 1558-Н от 11.11.2004 г. Установка и регулировка шин осуществляется поставщиком. Весь товар должен быть неиспользованным. Доставка осуществляется за счет поставщика.
Прочие условия:
Поставщик организует сезонную замену за свой счет (бесплатно) в течение 5 дней с даты обращения потребителя. Гарантийный срок составляет 365 календарных дней со дня получения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